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bidiVisual/>
        <w:tblW w:w="1070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5"/>
        <w:gridCol w:w="10478"/>
      </w:tblGrid>
      <w:tr w:rsidR="0094424E" w:rsidTr="00DF0408">
        <w:trPr>
          <w:trHeight w:val="87"/>
          <w:jc w:val="center"/>
        </w:trPr>
        <w:tc>
          <w:tcPr>
            <w:tcW w:w="222" w:type="dxa"/>
          </w:tcPr>
          <w:p w:rsidR="0094424E" w:rsidRPr="008A59EE" w:rsidRDefault="0094424E" w:rsidP="00D44968">
            <w:pPr>
              <w:suppressLineNumbers/>
              <w:jc w:val="both"/>
              <w:rPr>
                <w:rFonts w:ascii="Arial" w:hAnsi="Arial"/>
                <w:b/>
                <w:bCs/>
                <w:sz w:val="26"/>
                <w:szCs w:val="26"/>
                <w:rtl/>
              </w:rPr>
            </w:pPr>
          </w:p>
        </w:tc>
        <w:tc>
          <w:tcPr>
            <w:tcW w:w="10481" w:type="dxa"/>
          </w:tcPr>
          <w:p w:rsidR="00007DE0" w:rsidRPr="008A59EE" w:rsidRDefault="00007DE0" w:rsidP="00007DE0">
            <w:pPr>
              <w:suppressLineNumbers/>
              <w:rPr>
                <w:sz w:val="26"/>
                <w:szCs w:val="26"/>
              </w:rPr>
            </w:pPr>
          </w:p>
        </w:tc>
      </w:tr>
      <w:tr w:rsidR="0094424E" w:rsidTr="00DF0408">
        <w:trPr>
          <w:jc w:val="center"/>
        </w:trPr>
        <w:tc>
          <w:tcPr>
            <w:tcW w:w="227" w:type="dxa"/>
          </w:tcPr>
          <w:p w:rsidR="00D75ED3" w:rsidRDefault="00D75ED3">
            <w:pPr>
              <w:suppressLineNumbers/>
              <w:rPr>
                <w:rFonts w:ascii="Arial" w:hAnsi="Arial"/>
                <w:b/>
                <w:bCs/>
                <w:noProof w:val="0"/>
                <w:sz w:val="26"/>
                <w:szCs w:val="26"/>
                <w:rtl/>
              </w:rPr>
            </w:pPr>
          </w:p>
        </w:tc>
        <w:tc>
          <w:tcPr>
            <w:tcW w:w="10476" w:type="dxa"/>
          </w:tcPr>
          <w:p w:rsidR="0094424E" w:rsidRDefault="0094424E" w:rsidP="00DF0408">
            <w:pPr>
              <w:suppressLineNumbers/>
              <w:tabs>
                <w:tab w:val="left" w:pos="1337"/>
              </w:tabs>
              <w:rPr>
                <w:b/>
                <w:bCs/>
                <w:noProof w:val="0"/>
                <w:sz w:val="26"/>
                <w:szCs w:val="26"/>
              </w:rPr>
            </w:pPr>
          </w:p>
        </w:tc>
      </w:tr>
      <w:tr w:rsidR="0094424E" w:rsidTr="00DF0408">
        <w:trPr>
          <w:jc w:val="center"/>
        </w:trPr>
        <w:tc>
          <w:tcPr>
            <w:tcW w:w="10703" w:type="dxa"/>
            <w:gridSpan w:val="2"/>
          </w:tcPr>
          <w:p w:rsidR="0094424E" w:rsidRDefault="0094424E" w:rsidP="00D44968">
            <w:pPr>
              <w:suppressLineNumbers/>
              <w:rPr>
                <w:rFonts w:ascii="Arial" w:hAnsi="Arial"/>
                <w:b/>
                <w:bCs/>
                <w:noProof w:val="0"/>
                <w:sz w:val="26"/>
                <w:szCs w:val="26"/>
              </w:rPr>
            </w:pPr>
          </w:p>
        </w:tc>
      </w:tr>
      <w:tr w:rsidR="0094424E" w:rsidTr="00DF0408">
        <w:trPr>
          <w:jc w:val="center"/>
        </w:trPr>
        <w:tc>
          <w:tcPr>
            <w:tcW w:w="227" w:type="dxa"/>
          </w:tcPr>
          <w:p w:rsidR="0094424E" w:rsidRDefault="0094424E" w:rsidP="00D44968">
            <w:pPr>
              <w:suppressLineNumbers/>
              <w:rPr>
                <w:rFonts w:ascii="Arial" w:hAnsi="Arial"/>
                <w:b/>
                <w:bCs/>
                <w:noProof w:val="0"/>
                <w:sz w:val="26"/>
                <w:szCs w:val="26"/>
              </w:rPr>
            </w:pPr>
          </w:p>
        </w:tc>
        <w:tc>
          <w:tcPr>
            <w:tcW w:w="10476" w:type="dxa"/>
          </w:tcPr>
          <w:p w:rsidR="00CF6BB7" w:rsidRPr="00CD516B" w:rsidRDefault="00CF6BB7" w:rsidP="00FE09EC">
            <w:pPr>
              <w:suppressLineNumbers/>
              <w:rPr>
                <w:rFonts w:ascii="Arial" w:hAnsi="Arial"/>
                <w:b/>
                <w:bCs/>
                <w:noProof w:val="0"/>
                <w:sz w:val="26"/>
                <w:szCs w:val="26"/>
                <w:rtl/>
              </w:rPr>
            </w:pPr>
          </w:p>
        </w:tc>
      </w:tr>
      <w:tr w:rsidR="00CF6BB7" w:rsidTr="00DF0408">
        <w:trPr>
          <w:jc w:val="center"/>
        </w:trPr>
        <w:tc>
          <w:tcPr>
            <w:tcW w:w="10703" w:type="dxa"/>
            <w:gridSpan w:val="2"/>
          </w:tcPr>
          <w:p w:rsidR="00CF6BB7" w:rsidRDefault="00CF6BB7" w:rsidP="00D44968">
            <w:pPr>
              <w:suppressLineNumbers/>
              <w:rPr>
                <w:rtl/>
              </w:rPr>
            </w:pPr>
          </w:p>
        </w:tc>
      </w:tr>
      <w:tr w:rsidR="00CF6BB7" w:rsidTr="00DF0408">
        <w:trPr>
          <w:jc w:val="center"/>
        </w:trPr>
        <w:tc>
          <w:tcPr>
            <w:tcW w:w="227" w:type="dxa"/>
          </w:tcPr>
          <w:p w:rsidR="00B62AD7" w:rsidRPr="00B62AD7" w:rsidRDefault="005416B1"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10476" w:type="dxa"/>
          </w:tcPr>
          <w:p w:rsidR="00DF0408" w:rsidRPr="00584F98" w:rsidRDefault="00DF0408" w:rsidP="00584F98">
            <w:pPr>
              <w:rPr>
                <w:b/>
                <w:bCs/>
                <w:sz w:val="26"/>
                <w:szCs w:val="26"/>
              </w:rPr>
            </w:pPr>
          </w:p>
          <w:tbl>
            <w:tblPr>
              <w:tblStyle w:val="ab"/>
              <w:bidiVisual/>
              <w:tblW w:w="8820" w:type="dxa"/>
              <w:jc w:val="center"/>
              <w:tblLook w:val="01E0" w:firstRow="1" w:lastRow="1" w:firstColumn="1" w:lastColumn="1" w:noHBand="0" w:noVBand="0"/>
            </w:tblPr>
            <w:tblGrid>
              <w:gridCol w:w="923"/>
              <w:gridCol w:w="3219"/>
              <w:gridCol w:w="4678"/>
            </w:tblGrid>
            <w:tr w:rsidR="00DF0408" w:rsidTr="00DF0408">
              <w:trPr>
                <w:trHeight w:val="295"/>
                <w:jc w:val="center"/>
              </w:trPr>
              <w:tc>
                <w:tcPr>
                  <w:tcW w:w="923" w:type="dxa"/>
                  <w:tcBorders>
                    <w:top w:val="nil"/>
                    <w:left w:val="nil"/>
                    <w:bottom w:val="nil"/>
                    <w:right w:val="nil"/>
                  </w:tcBorders>
                  <w:hideMark/>
                </w:tcPr>
                <w:p w:rsidR="00DF0408" w:rsidRDefault="00DF0408" w:rsidP="00DF0408">
                  <w:pPr>
                    <w:jc w:val="both"/>
                    <w:rPr>
                      <w:rFonts w:ascii="David" w:hAnsi="David"/>
                      <w:sz w:val="26"/>
                      <w:szCs w:val="26"/>
                    </w:rPr>
                  </w:pPr>
                  <w:r>
                    <w:rPr>
                      <w:rFonts w:ascii="David" w:hAnsi="David"/>
                      <w:sz w:val="26"/>
                      <w:szCs w:val="26"/>
                      <w:rtl/>
                    </w:rPr>
                    <w:t xml:space="preserve">לפני </w:t>
                  </w:r>
                </w:p>
              </w:tc>
              <w:tc>
                <w:tcPr>
                  <w:tcW w:w="7897" w:type="dxa"/>
                  <w:gridSpan w:val="2"/>
                  <w:tcBorders>
                    <w:top w:val="nil"/>
                    <w:left w:val="nil"/>
                    <w:bottom w:val="nil"/>
                    <w:right w:val="nil"/>
                  </w:tcBorders>
                </w:tcPr>
                <w:p w:rsidR="00DF0408" w:rsidRDefault="00DF0408" w:rsidP="00DF0408">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עמי קובו</w:t>
                      </w:r>
                    </w:sdtContent>
                  </w:sdt>
                </w:p>
                <w:p w:rsidR="00DF0408" w:rsidRDefault="00DF0408" w:rsidP="00DF0408">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32391020"/>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1525057683"/>
                      <w:text w:multiLine="1"/>
                    </w:sdtPr>
                    <w:sdtEndPr/>
                    <w:sdtContent>
                      <w:r>
                        <w:rPr>
                          <w:rFonts w:ascii="David" w:hAnsi="David"/>
                          <w:b/>
                          <w:bCs/>
                          <w:sz w:val="26"/>
                          <w:szCs w:val="26"/>
                          <w:rtl/>
                        </w:rPr>
                        <w:t>מיכאל קרשן</w:t>
                      </w:r>
                    </w:sdtContent>
                  </w:sdt>
                </w:p>
                <w:p w:rsidR="00DF0408" w:rsidRDefault="00DF0408" w:rsidP="00DF0408">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958570229"/>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sz w:val="26"/>
                        <w:szCs w:val="26"/>
                        <w:rtl/>
                      </w:rPr>
                      <w:alias w:val="1573"/>
                      <w:tag w:val="1573"/>
                      <w:id w:val="1072783742"/>
                      <w:text w:multiLine="1"/>
                    </w:sdtPr>
                    <w:sdtEndPr/>
                    <w:sdtContent>
                      <w:r>
                        <w:rPr>
                          <w:rFonts w:ascii="David" w:hAnsi="David"/>
                          <w:b/>
                          <w:bCs/>
                          <w:sz w:val="26"/>
                          <w:szCs w:val="26"/>
                          <w:rtl/>
                        </w:rPr>
                        <w:t>מרב גרינברג</w:t>
                      </w:r>
                    </w:sdtContent>
                  </w:sdt>
                </w:p>
                <w:p w:rsidR="00DF0408" w:rsidRDefault="00DF0408" w:rsidP="00DF0408">
                  <w:pPr>
                    <w:rPr>
                      <w:rFonts w:ascii="David" w:hAnsi="David"/>
                      <w:sz w:val="26"/>
                      <w:szCs w:val="26"/>
                      <w:rtl/>
                    </w:rPr>
                  </w:pPr>
                </w:p>
              </w:tc>
            </w:tr>
            <w:tr w:rsidR="00DF0408" w:rsidTr="00DF0408">
              <w:trPr>
                <w:trHeight w:val="355"/>
                <w:jc w:val="center"/>
              </w:trPr>
              <w:tc>
                <w:tcPr>
                  <w:tcW w:w="923" w:type="dxa"/>
                  <w:tcBorders>
                    <w:top w:val="nil"/>
                    <w:left w:val="nil"/>
                    <w:bottom w:val="nil"/>
                    <w:right w:val="nil"/>
                  </w:tcBorders>
                  <w:hideMark/>
                </w:tcPr>
                <w:p w:rsidR="00DF0408" w:rsidRDefault="00DF0408" w:rsidP="00DF0408">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DF0408" w:rsidRDefault="00DF0408" w:rsidP="00DF0408">
                  <w:pPr>
                    <w:suppressLineNumbers/>
                  </w:pPr>
                  <w:r>
                    <w:rPr>
                      <w:rFonts w:ascii="Arial" w:hAnsi="Arial"/>
                      <w:b/>
                      <w:bCs/>
                      <w:sz w:val="26"/>
                      <w:szCs w:val="26"/>
                      <w:rtl/>
                    </w:rPr>
                    <w:t>ה</w:t>
                  </w:r>
                  <w:sdt>
                    <w:sdtPr>
                      <w:rPr>
                        <w:rtl/>
                      </w:rPr>
                      <w:alias w:val="1180"/>
                      <w:tag w:val="1180"/>
                      <w:id w:val="-156539776"/>
                      <w:text w:multiLine="1"/>
                    </w:sdtPr>
                    <w:sdtEndPr/>
                    <w:sdtContent>
                      <w:r>
                        <w:rPr>
                          <w:rFonts w:ascii="Arial" w:hAnsi="Arial"/>
                          <w:b/>
                          <w:bCs/>
                          <w:sz w:val="26"/>
                          <w:szCs w:val="26"/>
                          <w:rtl/>
                        </w:rPr>
                        <w:t>מאשימה</w:t>
                      </w:r>
                    </w:sdtContent>
                  </w:sdt>
                </w:p>
                <w:p w:rsidR="00DF0408" w:rsidRDefault="00DF0408" w:rsidP="00DF0408">
                  <w:pPr>
                    <w:rPr>
                      <w:rFonts w:ascii="David" w:hAnsi="David"/>
                      <w:sz w:val="26"/>
                      <w:szCs w:val="26"/>
                    </w:rPr>
                  </w:pPr>
                </w:p>
              </w:tc>
              <w:tc>
                <w:tcPr>
                  <w:tcW w:w="4678" w:type="dxa"/>
                  <w:tcBorders>
                    <w:top w:val="nil"/>
                    <w:left w:val="nil"/>
                    <w:bottom w:val="nil"/>
                    <w:right w:val="nil"/>
                  </w:tcBorders>
                  <w:vAlign w:val="center"/>
                </w:tcPr>
                <w:p w:rsidR="00DF0408" w:rsidRDefault="005416B1" w:rsidP="00DF0408">
                  <w:pPr>
                    <w:suppressLineNumbers/>
                  </w:pPr>
                  <w:sdt>
                    <w:sdtPr>
                      <w:rPr>
                        <w:rFonts w:ascii="Arial" w:hAnsi="Arial"/>
                        <w:b/>
                        <w:bCs/>
                        <w:sz w:val="26"/>
                        <w:szCs w:val="26"/>
                        <w:rtl/>
                      </w:rPr>
                      <w:alias w:val="3151"/>
                      <w:tag w:val="3151"/>
                      <w:id w:val="-764692362"/>
                      <w:placeholder>
                        <w:docPart w:val="F946488CDC57439FB0EF32AA0678D516"/>
                      </w:placeholder>
                      <w:text w:multiLine="1"/>
                    </w:sdtPr>
                    <w:sdtEndPr/>
                    <w:sdtContent>
                      <w:r w:rsidR="00DF0408">
                        <w:rPr>
                          <w:rFonts w:ascii="Arial" w:hAnsi="Arial"/>
                          <w:b/>
                          <w:bCs/>
                          <w:sz w:val="26"/>
                          <w:szCs w:val="26"/>
                          <w:rtl/>
                        </w:rPr>
                        <w:t>מדינת ישראל</w:t>
                      </w:r>
                    </w:sdtContent>
                  </w:sdt>
                  <w:r w:rsidR="00DF0408">
                    <w:rPr>
                      <w:rFonts w:ascii="Arial" w:hAnsi="Arial"/>
                      <w:b/>
                      <w:bCs/>
                      <w:sz w:val="26"/>
                      <w:szCs w:val="26"/>
                      <w:rtl/>
                    </w:rPr>
                    <w:t xml:space="preserve"> </w:t>
                  </w:r>
                </w:p>
                <w:p w:rsidR="00DF0408" w:rsidRDefault="00DF0408" w:rsidP="00DF0408">
                  <w:pPr>
                    <w:suppressLineNumbers/>
                    <w:rPr>
                      <w:rtl/>
                    </w:rPr>
                  </w:pPr>
                  <w:r>
                    <w:rPr>
                      <w:rtl/>
                    </w:rPr>
                    <w:t>באמצעות פרקליטות מחוז מרכז</w:t>
                  </w:r>
                </w:p>
                <w:p w:rsidR="00DF0408" w:rsidRDefault="00DF0408" w:rsidP="00DF0408">
                  <w:pPr>
                    <w:suppressLineNumbers/>
                    <w:rPr>
                      <w:rtl/>
                    </w:rPr>
                  </w:pPr>
                  <w:r>
                    <w:rPr>
                      <w:rtl/>
                    </w:rPr>
                    <w:t>ע"י עו"ד דודי ענבר</w:t>
                  </w:r>
                </w:p>
                <w:p w:rsidR="00DF0408" w:rsidRDefault="00DF0408" w:rsidP="00DF0408">
                  <w:pPr>
                    <w:rPr>
                      <w:rFonts w:ascii="David" w:hAnsi="David"/>
                      <w:sz w:val="26"/>
                      <w:szCs w:val="26"/>
                    </w:rPr>
                  </w:pPr>
                </w:p>
              </w:tc>
            </w:tr>
            <w:tr w:rsidR="00DF0408" w:rsidTr="00DF0408">
              <w:trPr>
                <w:trHeight w:val="355"/>
                <w:jc w:val="center"/>
              </w:trPr>
              <w:tc>
                <w:tcPr>
                  <w:tcW w:w="923" w:type="dxa"/>
                  <w:tcBorders>
                    <w:top w:val="nil"/>
                    <w:left w:val="nil"/>
                    <w:bottom w:val="nil"/>
                    <w:right w:val="nil"/>
                  </w:tcBorders>
                </w:tcPr>
                <w:p w:rsidR="00DF0408" w:rsidRDefault="00DF0408" w:rsidP="00DF0408">
                  <w:pPr>
                    <w:jc w:val="both"/>
                    <w:rPr>
                      <w:rFonts w:ascii="David" w:hAnsi="David"/>
                      <w:sz w:val="26"/>
                      <w:szCs w:val="26"/>
                    </w:rPr>
                  </w:pPr>
                </w:p>
              </w:tc>
              <w:tc>
                <w:tcPr>
                  <w:tcW w:w="7897" w:type="dxa"/>
                  <w:gridSpan w:val="2"/>
                  <w:tcBorders>
                    <w:top w:val="nil"/>
                    <w:left w:val="nil"/>
                    <w:bottom w:val="nil"/>
                    <w:right w:val="nil"/>
                  </w:tcBorders>
                </w:tcPr>
                <w:p w:rsidR="00DF0408" w:rsidRDefault="00DF0408" w:rsidP="00DF0408">
                  <w:pPr>
                    <w:jc w:val="center"/>
                    <w:rPr>
                      <w:rFonts w:ascii="David" w:hAnsi="David"/>
                      <w:b/>
                      <w:bCs/>
                      <w:sz w:val="26"/>
                      <w:szCs w:val="26"/>
                      <w:rtl/>
                    </w:rPr>
                  </w:pPr>
                </w:p>
                <w:p w:rsidR="00DF0408" w:rsidRDefault="00DF0408" w:rsidP="00DF0408">
                  <w:pPr>
                    <w:jc w:val="center"/>
                    <w:rPr>
                      <w:rFonts w:ascii="David" w:hAnsi="David"/>
                      <w:b/>
                      <w:bCs/>
                      <w:sz w:val="26"/>
                      <w:szCs w:val="26"/>
                      <w:rtl/>
                    </w:rPr>
                  </w:pPr>
                  <w:r>
                    <w:rPr>
                      <w:rFonts w:ascii="David" w:hAnsi="David"/>
                      <w:b/>
                      <w:bCs/>
                      <w:sz w:val="26"/>
                      <w:szCs w:val="26"/>
                      <w:rtl/>
                    </w:rPr>
                    <w:t>נגד</w:t>
                  </w:r>
                </w:p>
                <w:p w:rsidR="00DF0408" w:rsidRDefault="00DF0408" w:rsidP="00DF0408">
                  <w:pPr>
                    <w:jc w:val="both"/>
                    <w:rPr>
                      <w:rFonts w:ascii="David" w:hAnsi="David"/>
                      <w:sz w:val="26"/>
                      <w:szCs w:val="26"/>
                      <w:rtl/>
                    </w:rPr>
                  </w:pPr>
                </w:p>
              </w:tc>
            </w:tr>
            <w:tr w:rsidR="00DF0408" w:rsidTr="00DF0408">
              <w:trPr>
                <w:trHeight w:val="355"/>
                <w:jc w:val="center"/>
              </w:trPr>
              <w:tc>
                <w:tcPr>
                  <w:tcW w:w="923" w:type="dxa"/>
                  <w:tcBorders>
                    <w:top w:val="nil"/>
                    <w:left w:val="nil"/>
                    <w:bottom w:val="nil"/>
                    <w:right w:val="nil"/>
                  </w:tcBorders>
                </w:tcPr>
                <w:p w:rsidR="00DF0408" w:rsidRDefault="00DF0408" w:rsidP="00DF0408">
                  <w:pPr>
                    <w:rPr>
                      <w:rFonts w:ascii="David" w:hAnsi="David"/>
                      <w:sz w:val="26"/>
                      <w:szCs w:val="26"/>
                    </w:rPr>
                  </w:pPr>
                </w:p>
              </w:tc>
              <w:tc>
                <w:tcPr>
                  <w:tcW w:w="3219" w:type="dxa"/>
                  <w:tcBorders>
                    <w:top w:val="nil"/>
                    <w:left w:val="nil"/>
                    <w:bottom w:val="nil"/>
                    <w:right w:val="nil"/>
                  </w:tcBorders>
                  <w:hideMark/>
                </w:tcPr>
                <w:p w:rsidR="00DF0408" w:rsidRDefault="00DF0408" w:rsidP="00DF0408">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DF0408" w:rsidRDefault="005416B1" w:rsidP="00DF0408">
                  <w:pPr>
                    <w:suppressLineNumbers/>
                    <w:rPr>
                      <w:rtl/>
                    </w:rPr>
                  </w:pPr>
                  <w:sdt>
                    <w:sdtPr>
                      <w:rPr>
                        <w:rFonts w:ascii="Arial" w:hAnsi="Arial"/>
                        <w:b/>
                        <w:bCs/>
                        <w:sz w:val="26"/>
                        <w:szCs w:val="26"/>
                        <w:rtl/>
                      </w:rPr>
                      <w:alias w:val="3152"/>
                      <w:tag w:val="3152"/>
                      <w:id w:val="-490021784"/>
                      <w:placeholder>
                        <w:docPart w:val="2E4F25EF27EB4D09A854CEDFB908C9B6"/>
                      </w:placeholder>
                      <w:text w:multiLine="1"/>
                    </w:sdtPr>
                    <w:sdtEndPr/>
                    <w:sdtContent>
                      <w:r w:rsidR="00DF0408">
                        <w:rPr>
                          <w:rFonts w:ascii="Arial" w:hAnsi="Arial" w:hint="cs"/>
                          <w:b/>
                          <w:bCs/>
                          <w:sz w:val="26"/>
                          <w:szCs w:val="26"/>
                          <w:rtl/>
                        </w:rPr>
                        <w:t>פלוני</w:t>
                      </w:r>
                      <w:r w:rsidR="00DF0408">
                        <w:rPr>
                          <w:rFonts w:ascii="Arial" w:hAnsi="Arial"/>
                          <w:b/>
                          <w:bCs/>
                          <w:sz w:val="26"/>
                          <w:szCs w:val="26"/>
                          <w:rtl/>
                        </w:rPr>
                        <w:t xml:space="preserve"> </w:t>
                      </w:r>
                    </w:sdtContent>
                  </w:sdt>
                  <w:r w:rsidR="00DF0408">
                    <w:rPr>
                      <w:rFonts w:ascii="Arial" w:hAnsi="Arial"/>
                      <w:b/>
                      <w:bCs/>
                      <w:sz w:val="26"/>
                      <w:szCs w:val="26"/>
                      <w:rtl/>
                    </w:rPr>
                    <w:t xml:space="preserve"> </w:t>
                  </w:r>
                </w:p>
                <w:p w:rsidR="00DF0408" w:rsidRDefault="00DF0408" w:rsidP="00DF0408">
                  <w:pPr>
                    <w:suppressLineNumbers/>
                    <w:rPr>
                      <w:rtl/>
                    </w:rPr>
                  </w:pPr>
                  <w:r>
                    <w:rPr>
                      <w:rtl/>
                    </w:rPr>
                    <w:t>ע"י עו"ד שוש חיון</w:t>
                  </w:r>
                </w:p>
                <w:p w:rsidR="00DF0408" w:rsidRDefault="00DF0408" w:rsidP="00DF0408">
                  <w:pPr>
                    <w:rPr>
                      <w:rFonts w:ascii="David" w:hAnsi="David"/>
                      <w:sz w:val="26"/>
                      <w:szCs w:val="26"/>
                    </w:rPr>
                  </w:pPr>
                </w:p>
              </w:tc>
            </w:tr>
            <w:tr w:rsidR="00DF0408" w:rsidTr="00DF0408">
              <w:trPr>
                <w:trHeight w:val="355"/>
                <w:jc w:val="center"/>
              </w:trPr>
              <w:tc>
                <w:tcPr>
                  <w:tcW w:w="923" w:type="dxa"/>
                  <w:tcBorders>
                    <w:top w:val="nil"/>
                    <w:left w:val="nil"/>
                    <w:bottom w:val="nil"/>
                    <w:right w:val="nil"/>
                  </w:tcBorders>
                </w:tcPr>
                <w:p w:rsidR="00DF0408" w:rsidRDefault="00DF0408" w:rsidP="00DF0408">
                  <w:pPr>
                    <w:jc w:val="both"/>
                    <w:rPr>
                      <w:rFonts w:ascii="David" w:hAnsi="David"/>
                      <w:sz w:val="26"/>
                      <w:szCs w:val="26"/>
                    </w:rPr>
                  </w:pPr>
                </w:p>
              </w:tc>
              <w:tc>
                <w:tcPr>
                  <w:tcW w:w="3219" w:type="dxa"/>
                  <w:tcBorders>
                    <w:top w:val="nil"/>
                    <w:left w:val="nil"/>
                    <w:bottom w:val="nil"/>
                    <w:right w:val="nil"/>
                  </w:tcBorders>
                </w:tcPr>
                <w:p w:rsidR="00DF0408" w:rsidRDefault="00DF0408" w:rsidP="00DF0408">
                  <w:pPr>
                    <w:jc w:val="both"/>
                    <w:rPr>
                      <w:rFonts w:ascii="David" w:hAnsi="David"/>
                      <w:sz w:val="26"/>
                      <w:szCs w:val="26"/>
                      <w:rtl/>
                    </w:rPr>
                  </w:pPr>
                </w:p>
              </w:tc>
              <w:tc>
                <w:tcPr>
                  <w:tcW w:w="4678" w:type="dxa"/>
                  <w:tcBorders>
                    <w:top w:val="nil"/>
                    <w:left w:val="nil"/>
                    <w:bottom w:val="nil"/>
                    <w:right w:val="nil"/>
                  </w:tcBorders>
                </w:tcPr>
                <w:p w:rsidR="00DF0408" w:rsidRDefault="00DF0408" w:rsidP="00DF0408">
                  <w:pPr>
                    <w:jc w:val="right"/>
                    <w:rPr>
                      <w:rFonts w:ascii="David" w:hAnsi="David"/>
                      <w:sz w:val="26"/>
                      <w:szCs w:val="26"/>
                      <w:rtl/>
                    </w:rPr>
                  </w:pPr>
                </w:p>
              </w:tc>
            </w:tr>
          </w:tbl>
          <w:p w:rsidR="00DF0408" w:rsidRDefault="002C5349" w:rsidP="002C5349">
            <w:pPr>
              <w:jc w:val="center"/>
              <w:rPr>
                <w:u w:val="single"/>
                <w:rtl/>
              </w:rPr>
            </w:pPr>
            <w:r>
              <w:rPr>
                <w:rFonts w:hint="cs"/>
                <w:u w:val="single"/>
                <w:rtl/>
              </w:rPr>
              <w:t>נוסח זה של גזר הדין מותר בפרסום</w:t>
            </w:r>
          </w:p>
          <w:p w:rsidR="002C5349" w:rsidRPr="002C5349" w:rsidRDefault="002C5349" w:rsidP="002C5349">
            <w:pPr>
              <w:jc w:val="center"/>
              <w:rPr>
                <w:u w:val="single"/>
              </w:rPr>
            </w:pPr>
          </w:p>
          <w:tbl>
            <w:tblPr>
              <w:tblStyle w:val="ab"/>
              <w:bidiVisual/>
              <w:tblW w:w="8820" w:type="dxa"/>
              <w:jc w:val="center"/>
              <w:tblLook w:val="01E0" w:firstRow="1" w:lastRow="1" w:firstColumn="1" w:lastColumn="1" w:noHBand="0" w:noVBand="0"/>
            </w:tblPr>
            <w:tblGrid>
              <w:gridCol w:w="8820"/>
            </w:tblGrid>
            <w:tr w:rsidR="00DF0408" w:rsidTr="00DF0408">
              <w:trPr>
                <w:trHeight w:val="355"/>
                <w:jc w:val="center"/>
              </w:trPr>
              <w:tc>
                <w:tcPr>
                  <w:tcW w:w="8820" w:type="dxa"/>
                  <w:tcBorders>
                    <w:top w:val="nil"/>
                    <w:left w:val="nil"/>
                    <w:bottom w:val="nil"/>
                    <w:right w:val="nil"/>
                  </w:tcBorders>
                  <w:hideMark/>
                </w:tcPr>
                <w:p w:rsidR="00DF0408" w:rsidRDefault="00DF0408" w:rsidP="00DF0408">
                  <w:pPr>
                    <w:jc w:val="center"/>
                    <w:rPr>
                      <w:rFonts w:ascii="David" w:hAnsi="David"/>
                      <w:sz w:val="32"/>
                      <w:szCs w:val="32"/>
                      <w:u w:val="single"/>
                    </w:rPr>
                  </w:pPr>
                  <w:r>
                    <w:rPr>
                      <w:rFonts w:ascii="David" w:hAnsi="David"/>
                      <w:b/>
                      <w:bCs/>
                      <w:sz w:val="32"/>
                      <w:szCs w:val="32"/>
                      <w:u w:val="single"/>
                      <w:rtl/>
                    </w:rPr>
                    <w:t>גזר דין</w:t>
                  </w:r>
                </w:p>
              </w:tc>
            </w:tr>
          </w:tbl>
          <w:p w:rsidR="00DF0408" w:rsidRDefault="00DF0408" w:rsidP="00DF0408">
            <w:pPr>
              <w:rPr>
                <w:rFonts w:ascii="Arial" w:hAnsi="Arial"/>
                <w:b/>
                <w:bCs/>
                <w:sz w:val="26"/>
                <w:szCs w:val="26"/>
                <w:rtl/>
              </w:rPr>
            </w:pPr>
          </w:p>
          <w:p w:rsidR="00DF0408" w:rsidRDefault="00DF0408" w:rsidP="00DF0408">
            <w:pPr>
              <w:rPr>
                <w:rFonts w:ascii="Arial" w:hAnsi="Arial"/>
                <w:b/>
                <w:bCs/>
                <w:sz w:val="26"/>
                <w:szCs w:val="26"/>
                <w:rtl/>
              </w:rPr>
            </w:pPr>
          </w:p>
          <w:p w:rsidR="00DF0408" w:rsidRDefault="00DF0408" w:rsidP="00DF0408">
            <w:pPr>
              <w:pStyle w:val="af0"/>
              <w:jc w:val="both"/>
              <w:rPr>
                <w:rtl/>
              </w:rPr>
            </w:pPr>
            <w:r>
              <w:rPr>
                <w:rtl/>
              </w:rPr>
              <w:t>רקע</w:t>
            </w:r>
          </w:p>
          <w:p w:rsidR="00DF0408" w:rsidRDefault="00DF0408" w:rsidP="00DF0408">
            <w:pPr>
              <w:pStyle w:val="a0"/>
              <w:tabs>
                <w:tab w:val="num" w:pos="1274"/>
              </w:tabs>
              <w:jc w:val="both"/>
            </w:pPr>
            <w:r>
              <w:rPr>
                <w:rFonts w:hint="cs"/>
                <w:rtl/>
              </w:rPr>
              <w:t>הנאשם הורשע, על יסוד הודאתו, במסגרת הסדר טיעון, בעובדות כתב אישום מתוקן בשנית בביצוע העבירות הבאות:</w:t>
            </w:r>
            <w:r>
              <w:rPr>
                <w:rFonts w:hint="cs"/>
                <w:b/>
                <w:bCs/>
                <w:rtl/>
              </w:rPr>
              <w:t xml:space="preserve"> </w:t>
            </w:r>
          </w:p>
          <w:p w:rsidR="00DF0408" w:rsidRDefault="00DF0408" w:rsidP="00DF0408">
            <w:pPr>
              <w:pStyle w:val="a0"/>
              <w:numPr>
                <w:ilvl w:val="1"/>
                <w:numId w:val="2"/>
              </w:numPr>
              <w:tabs>
                <w:tab w:val="left" w:pos="720"/>
                <w:tab w:val="num" w:pos="1274"/>
              </w:tabs>
              <w:ind w:left="1274" w:hanging="567"/>
              <w:jc w:val="both"/>
              <w:rPr>
                <w:rtl/>
              </w:rPr>
            </w:pPr>
            <w:r>
              <w:rPr>
                <w:rFonts w:hint="cs"/>
                <w:u w:val="single"/>
                <w:rtl/>
              </w:rPr>
              <w:t xml:space="preserve">באישומים </w:t>
            </w:r>
            <w:r>
              <w:rPr>
                <w:rFonts w:hint="cs"/>
                <w:b/>
                <w:bCs/>
                <w:rtl/>
              </w:rPr>
              <w:t>3-1, 5 – מעשה מגונה בקטינה שטרם מלאו לה 16 בנסיבות אינוס</w:t>
            </w:r>
            <w:r>
              <w:rPr>
                <w:rFonts w:hint="cs"/>
                <w:rtl/>
              </w:rPr>
              <w:t xml:space="preserve"> </w:t>
            </w:r>
            <w:r>
              <w:rPr>
                <w:rFonts w:hint="cs"/>
                <w:b/>
                <w:bCs/>
                <w:rtl/>
              </w:rPr>
              <w:t>(ריבוי עבירות)</w:t>
            </w:r>
            <w:r>
              <w:rPr>
                <w:rFonts w:hint="cs"/>
                <w:rtl/>
              </w:rPr>
              <w:t xml:space="preserve"> לפי סעיף 348(ב) בנסיבות סעיפים 345(ב)(1) ו-345(א)(1) בחוק העונשין, תשל"ז-1977 (להלן: </w:t>
            </w:r>
            <w:r>
              <w:rPr>
                <w:rFonts w:hint="cs"/>
                <w:b/>
                <w:bCs/>
                <w:rtl/>
              </w:rPr>
              <w:t>החוק</w:t>
            </w:r>
            <w:r>
              <w:rPr>
                <w:rFonts w:hint="cs"/>
                <w:rtl/>
              </w:rPr>
              <w:t xml:space="preserve">) (באישומים הראשון והשני – ריבוי עבירות; באישומים השלישי והחמישי – עבירה אחת בכל אישום). </w:t>
            </w:r>
          </w:p>
          <w:p w:rsidR="00DF0408" w:rsidRDefault="00DF0408" w:rsidP="00DF0408">
            <w:pPr>
              <w:pStyle w:val="a0"/>
              <w:numPr>
                <w:ilvl w:val="1"/>
                <w:numId w:val="2"/>
              </w:numPr>
              <w:tabs>
                <w:tab w:val="left" w:pos="720"/>
                <w:tab w:val="num" w:pos="1274"/>
              </w:tabs>
              <w:ind w:left="1274" w:hanging="567"/>
              <w:jc w:val="both"/>
            </w:pPr>
            <w:r>
              <w:rPr>
                <w:rFonts w:hint="cs"/>
                <w:u w:val="single"/>
                <w:rtl/>
              </w:rPr>
              <w:t xml:space="preserve">באישום 4- </w:t>
            </w:r>
            <w:r>
              <w:rPr>
                <w:rFonts w:hint="cs"/>
                <w:b/>
                <w:bCs/>
                <w:rtl/>
              </w:rPr>
              <w:t>אינוס בנסיבות מחמירות</w:t>
            </w:r>
            <w:r>
              <w:rPr>
                <w:rFonts w:hint="cs"/>
                <w:rtl/>
              </w:rPr>
              <w:t xml:space="preserve"> לפי סעיף 345(ב)(1) וסעיף 345(א)(1) בחוק.</w:t>
            </w:r>
          </w:p>
          <w:p w:rsidR="00DF0408" w:rsidRDefault="00DF0408" w:rsidP="00DF0408">
            <w:pPr>
              <w:pStyle w:val="a0"/>
              <w:numPr>
                <w:ilvl w:val="0"/>
                <w:numId w:val="0"/>
              </w:numPr>
              <w:tabs>
                <w:tab w:val="left" w:pos="720"/>
              </w:tabs>
              <w:spacing w:after="0"/>
              <w:ind w:left="1274"/>
              <w:jc w:val="both"/>
            </w:pPr>
          </w:p>
          <w:p w:rsidR="00DF0408" w:rsidRDefault="00DF0408" w:rsidP="00DF0408">
            <w:pPr>
              <w:pStyle w:val="a0"/>
            </w:pPr>
            <w:r>
              <w:rPr>
                <w:rFonts w:hint="cs"/>
                <w:rtl/>
              </w:rPr>
              <w:t>ואלה הן עובדות כתב האישום המתוקן:</w:t>
            </w:r>
          </w:p>
          <w:p w:rsidR="00DF0408" w:rsidRDefault="00DF0408" w:rsidP="00DF0408">
            <w:pPr>
              <w:pStyle w:val="a0"/>
              <w:numPr>
                <w:ilvl w:val="0"/>
                <w:numId w:val="0"/>
              </w:numPr>
              <w:tabs>
                <w:tab w:val="left" w:pos="720"/>
              </w:tabs>
              <w:ind w:left="720"/>
              <w:jc w:val="both"/>
            </w:pPr>
            <w:r>
              <w:rPr>
                <w:rFonts w:hint="cs"/>
                <w:rtl/>
              </w:rPr>
              <w:t xml:space="preserve">החל משנת 2009 ועד 23.9.2019 היה הנאשם, יליד 1981, נשוי לב.ב, אחותה של המתלוננת א.א ילידת ספטמבר 2007, ונולדו להם שני ילדים משותפים. בין השנים 2017-2021 (להלן: "התקופה הרלוונטית") נעדרה האחות ב.ב מהבית לתקופות ממושכות לצורך טיפולים רפואיים, והילדים הועברו לאומנה אצל הורי המתלוננת. במהלך התקופה הרלוונטית, במספר רב של הזדמנויות, נהגה המתלוננת להתלוות לילדים בביקורים בביתו של הנאשם </w:t>
            </w:r>
            <w:r>
              <w:rPr>
                <w:rFonts w:hint="cs"/>
                <w:rtl/>
              </w:rPr>
              <w:lastRenderedPageBreak/>
              <w:t xml:space="preserve">(להלן: "הבית"). במהלך ביקורים אלו נהג הנאשם ללטף, לחבק ולנשק את המתלוננת על לחייה ושפתיה, וכן ביצע הנאשם במתלוננת מעשים מגונים ומעשה אינוס, כמפורט להלן: </w:t>
            </w:r>
          </w:p>
          <w:p w:rsidR="00DF0408" w:rsidRDefault="00DF0408" w:rsidP="00DF0408">
            <w:pPr>
              <w:pStyle w:val="a0"/>
              <w:numPr>
                <w:ilvl w:val="0"/>
                <w:numId w:val="0"/>
              </w:numPr>
              <w:tabs>
                <w:tab w:val="left" w:pos="720"/>
              </w:tabs>
              <w:ind w:left="720"/>
              <w:jc w:val="both"/>
            </w:pPr>
            <w:r>
              <w:rPr>
                <w:rFonts w:hint="cs"/>
                <w:u w:val="single"/>
                <w:rtl/>
              </w:rPr>
              <w:t>על פי אישום 1</w:t>
            </w:r>
            <w:r>
              <w:rPr>
                <w:rFonts w:hint="cs"/>
                <w:rtl/>
              </w:rPr>
              <w:t xml:space="preserve"> – החל מחודש ספטמבר 2019 במספר הזדמנויות ישב הנאשם על הספה בבית כשברכיו מפוסקות, הושיב את המתלוננת בין רגליו כשגבה מופנה אליו, והזיז את גופה קדימה ואחורה תוך שהוא לוחש לה לזוז בעצמה, ובכך חיכך את אזור ישבנה באיבר מינו לצורך גירוי וסיפוק מיני. בשתיים מההזדמנויות היה לבוש בתחתוניו בלבד. </w:t>
            </w:r>
          </w:p>
          <w:p w:rsidR="00DF0408" w:rsidRDefault="00DF0408" w:rsidP="00DF0408">
            <w:pPr>
              <w:pStyle w:val="a0"/>
              <w:numPr>
                <w:ilvl w:val="0"/>
                <w:numId w:val="0"/>
              </w:numPr>
              <w:tabs>
                <w:tab w:val="left" w:pos="720"/>
              </w:tabs>
              <w:ind w:left="720"/>
              <w:jc w:val="both"/>
              <w:rPr>
                <w:rtl/>
              </w:rPr>
            </w:pPr>
            <w:r>
              <w:rPr>
                <w:rFonts w:hint="cs"/>
                <w:u w:val="single"/>
                <w:rtl/>
              </w:rPr>
              <w:t>על פי אישום 2</w:t>
            </w:r>
            <w:r>
              <w:rPr>
                <w:rFonts w:hint="cs"/>
                <w:rtl/>
              </w:rPr>
              <w:t xml:space="preserve"> – החל מחודש ספטמבר 2019, לפחות בשלוש הזדמנויות, בעת שהמתלוננת התקלחה בבית, נכנס הנאשם לחדר המקלחת, עמד בפני המתלוננת וצפה בגופה העירום לצורך גירוי וסיפוק מיני. </w:t>
            </w:r>
            <w:r>
              <w:rPr>
                <w:rFonts w:hint="cs"/>
                <w:b/>
                <w:bCs/>
                <w:rtl/>
              </w:rPr>
              <w:t xml:space="preserve">כמו כן הנאשם סימן למתלוננת על מקומות שונים בגופה העירום ואמר לה שטרם ניקתה אותם, זאת במטרה לצפות בה. </w:t>
            </w:r>
            <w:r>
              <w:rPr>
                <w:rFonts w:hint="cs"/>
                <w:rtl/>
              </w:rPr>
              <w:t xml:space="preserve">בין החודשים ספטמבר 2019 - ספטמבר 2020, הגיעה המתלוננת לבית יחד עם הילדים על מנת לבקר את הנאשם, בשלב מסוים, כשהתכוונה ללכת לביתה, שכנע אותה הנאשם להישאר לאכול בביתו. המתלוננת הסכימה לכך, ובשלב מסוים הורה לה הנאשם להיכנס למקלחת והיא עשתה כדבריו. המתלוננת החלה להתקלח, כעבור מספר דקות נכנס הנאשם לחדר המקלחת, כשהוא לבוש בתחתונים, נעמד מול המתלוננת העירומה וצפה בה כשהיא מתקלחת. בהמשך, התקרב לעברה ואמר לה שהוא רוצה "לעשות לה נעים", הנאשם כרע על ברכיו מול המתלוננת הערומה, הורה לה להרים אחת מרגליה ולהניח אותה על הכיור הצמוד למקלחת, המתלוננת עשתה כהוראת הנאשם, ובשלב זה </w:t>
            </w:r>
            <w:r>
              <w:rPr>
                <w:rFonts w:hint="cs"/>
                <w:b/>
                <w:bCs/>
                <w:rtl/>
              </w:rPr>
              <w:t>הנאשם ליקק בלשונו את איבר מינה של המתלוננת מספר פעמים</w:t>
            </w:r>
            <w:r>
              <w:rPr>
                <w:rFonts w:hint="cs"/>
                <w:rtl/>
              </w:rPr>
              <w:t xml:space="preserve">. בהמשך, כששמע הנאשם את הילדים שנכנסו הביתה, הפסיק את מעשיו ושאל את המתלוננת "האם היה בסדר", המתלוננת המפוחדת והמבוהלת ממעשי הנאשם לא ידעה מה להשיב ולבסוף השיבה שכן והנאשם יצא מהמקלחת. בחלק מהאירועים הורה הנאשם למתלוננת, מיוזמתו, להיכנס להתקלח, זאת על מנת שתהיה לו אפשרות לצפות בה. </w:t>
            </w:r>
          </w:p>
          <w:p w:rsidR="00DF0408" w:rsidRDefault="00DF0408" w:rsidP="00DF0408">
            <w:pPr>
              <w:pStyle w:val="a0"/>
              <w:numPr>
                <w:ilvl w:val="0"/>
                <w:numId w:val="0"/>
              </w:numPr>
              <w:tabs>
                <w:tab w:val="left" w:pos="720"/>
              </w:tabs>
              <w:ind w:left="720"/>
              <w:jc w:val="both"/>
              <w:rPr>
                <w:rtl/>
              </w:rPr>
            </w:pPr>
            <w:r>
              <w:rPr>
                <w:rFonts w:hint="cs"/>
                <w:u w:val="single"/>
                <w:rtl/>
              </w:rPr>
              <w:t>על פי אישום 3</w:t>
            </w:r>
            <w:r>
              <w:rPr>
                <w:rFonts w:hint="cs"/>
                <w:rtl/>
              </w:rPr>
              <w:t xml:space="preserve"> – במהלך החודשים ספטמבר 2020 ועד לחודש אוגוסט 2021, אך טרם מלאו למתלוננת 14 שנים, בשעת לילה, שהתה המתלוננת עם הילדים בבית הנאשם. אותה עת ישנו ילדי הנאשם בחדרו, ואילו המתלוננת שכבה על צידה על הספה בסלון וצפתה בטלוויזיה כשהיא לבושה בשמלת לילה. בשלב זה נכנס הנאשם לסלון, נשכב על הספה מאחורי המתלוננת, כשגבה מופנה לכיוון גופו, הוא הורה להפשיל את תחתוניה ולחזור לשכב על צדה. המתלוננת עשתה כהוראתו, </w:t>
            </w:r>
            <w:r>
              <w:rPr>
                <w:rFonts w:hint="cs"/>
                <w:b/>
                <w:bCs/>
                <w:rtl/>
              </w:rPr>
              <w:t>או אז הפשיל הנאשם את תחתוניו, הורה למתלוננת לשנות מעט את תנוחתה על הספה וחיכך את איבר מינו באיבר מינה של המתלוננת בניגוד להסכמתה, וזאת מספר פעמים.</w:t>
            </w:r>
            <w:r>
              <w:rPr>
                <w:rFonts w:hint="cs"/>
                <w:rtl/>
              </w:rPr>
              <w:t xml:space="preserve"> בהמשך, בעוד הנאשם ממשיך במעשיו, אמרה לו המתלוננת שהיא עייפה ורוצה ללכת לישון, והנאשם השיב שהיא יכולה לעשות זאת. הנאשם חדל ממעשיו, והמתלוננת עזבה את הסלון והלכה לישון.  </w:t>
            </w:r>
          </w:p>
          <w:p w:rsidR="00DF0408" w:rsidRDefault="00DF0408" w:rsidP="00DF0408">
            <w:pPr>
              <w:pStyle w:val="a0"/>
              <w:numPr>
                <w:ilvl w:val="0"/>
                <w:numId w:val="0"/>
              </w:numPr>
              <w:tabs>
                <w:tab w:val="left" w:pos="720"/>
              </w:tabs>
              <w:ind w:left="720"/>
              <w:jc w:val="both"/>
              <w:rPr>
                <w:rtl/>
              </w:rPr>
            </w:pPr>
            <w:r>
              <w:rPr>
                <w:rFonts w:hint="cs"/>
                <w:u w:val="single"/>
                <w:rtl/>
              </w:rPr>
              <w:t>על פי אישום 4</w:t>
            </w:r>
            <w:r>
              <w:rPr>
                <w:rFonts w:hint="cs"/>
                <w:rtl/>
              </w:rPr>
              <w:t xml:space="preserve"> – במהלך החודשים ספטמבר 2020-אוגוסט 2021, בטרם מלאו למתלוננת 14 שנים, מספר שבועות לפני האירוע המתואר באישום השלישי, שהתה המתלוננת בחדר בבית, כשהיא מכוסה במגבת לאחר שסיימה להתקלח. אותה עת נכנס הנאשם לחדר, הורה למתלוננת לפשוט את המגבת ולעמוד עם גבה אליו ונעמד מאחוריה. </w:t>
            </w:r>
            <w:r>
              <w:rPr>
                <w:rFonts w:hint="cs"/>
                <w:b/>
                <w:bCs/>
                <w:rtl/>
              </w:rPr>
              <w:t xml:space="preserve">בשלב זה ניסה הנאשם להחדיר את איבר מינו לאיבר מינה של המתלוננת, ללא הצלחה. על כן הורה לה להישען עם בטנה על המיטה שבחדר, כשרגליה על הרצפה והמתלוננת עשתה זאת, בשלב זה הנאשם החדיר את איבר </w:t>
            </w:r>
            <w:r>
              <w:rPr>
                <w:rFonts w:hint="cs"/>
                <w:b/>
                <w:bCs/>
                <w:rtl/>
              </w:rPr>
              <w:lastRenderedPageBreak/>
              <w:t>מינו לאיבר מינה בניגוד להסכמתה</w:t>
            </w:r>
            <w:r>
              <w:rPr>
                <w:rFonts w:hint="cs"/>
                <w:rtl/>
              </w:rPr>
              <w:t xml:space="preserve">. בהמשך כשהנאשם שמע את ילדיו נכנסים מחצר לבית, הוציא את איבר מינו מאיבר מינה של המתלוננת ועזב את החדר.  </w:t>
            </w:r>
          </w:p>
          <w:p w:rsidR="00DF0408" w:rsidRDefault="00DF0408" w:rsidP="00DF0408">
            <w:pPr>
              <w:pStyle w:val="a0"/>
              <w:numPr>
                <w:ilvl w:val="0"/>
                <w:numId w:val="0"/>
              </w:numPr>
              <w:tabs>
                <w:tab w:val="left" w:pos="720"/>
              </w:tabs>
              <w:spacing w:after="0"/>
              <w:ind w:left="720"/>
              <w:jc w:val="both"/>
              <w:rPr>
                <w:rtl/>
              </w:rPr>
            </w:pPr>
            <w:r>
              <w:rPr>
                <w:rFonts w:hint="cs"/>
                <w:u w:val="single"/>
                <w:rtl/>
              </w:rPr>
              <w:t>על פי אישום 5</w:t>
            </w:r>
            <w:r>
              <w:rPr>
                <w:rFonts w:hint="cs"/>
                <w:rtl/>
              </w:rPr>
              <w:t xml:space="preserve"> – במהלך שנת 2021, לאחר שמלאו למתלוננת 14 שנים, עת ישבה המתלוננת על הספה בבית ניגש אליה הנאשם, </w:t>
            </w:r>
            <w:r>
              <w:rPr>
                <w:rFonts w:hint="cs"/>
                <w:b/>
                <w:bCs/>
                <w:rtl/>
              </w:rPr>
              <w:t>נישק אותה והחדיר את לשונו לפיה, בניגוד להסכמתה. בהמשך אחז בשדה הימני ומישש אותו</w:t>
            </w:r>
            <w:r>
              <w:rPr>
                <w:rFonts w:hint="cs"/>
                <w:rtl/>
              </w:rPr>
              <w:t xml:space="preserve">. המתלוננת, שנבהלה ממעשי הנאשם, התכווצה והנאשם חדל ממעשיו.  </w:t>
            </w:r>
          </w:p>
          <w:p w:rsidR="00DF0408" w:rsidRDefault="00DF0408" w:rsidP="00DF0408">
            <w:pPr>
              <w:pStyle w:val="a0"/>
              <w:numPr>
                <w:ilvl w:val="0"/>
                <w:numId w:val="0"/>
              </w:numPr>
              <w:tabs>
                <w:tab w:val="left" w:pos="720"/>
              </w:tabs>
              <w:spacing w:after="0"/>
              <w:ind w:left="720"/>
              <w:jc w:val="both"/>
              <w:rPr>
                <w:rtl/>
              </w:rPr>
            </w:pPr>
          </w:p>
          <w:p w:rsidR="00DF0408" w:rsidRDefault="00DF0408" w:rsidP="00DF0408">
            <w:pPr>
              <w:pStyle w:val="a0"/>
              <w:numPr>
                <w:ilvl w:val="0"/>
                <w:numId w:val="0"/>
              </w:numPr>
              <w:tabs>
                <w:tab w:val="left" w:pos="720"/>
              </w:tabs>
              <w:spacing w:after="0"/>
              <w:ind w:left="720"/>
              <w:jc w:val="both"/>
              <w:rPr>
                <w:rtl/>
              </w:rPr>
            </w:pPr>
            <w:r>
              <w:rPr>
                <w:rFonts w:hint="cs"/>
                <w:rtl/>
              </w:rPr>
              <w:t xml:space="preserve">לצד כתב האישום, הגישה המאשימה בקשה להעיד את  ב.ב ז"ל, אחות המתלוננת, נוכח מצבה הרפואי הקשה באותה תקופה, במסגרת עדות מוקדמת. מאחר שהנאשם כפר תחילה במיוחס לו, נשמעה עדותה של ב.ב, ובהמשך לה הגיעו הצדדים להסדר הטיעון בגדרו הורשע הנאשם בכתב אישום מתוקן (בשנית). אשר לעונש הגיעו הצדדים להסכמה, לפיה תעתור המאשימה לעונש ראוי של 9 שנות מאסר ומאסר על תנאי, וההגנה תהיה חופשיה בטיעוניה. עוד הוסכם, כי הנאשם יפקיד כתנאי להסדר עובר למועד הטיעונים לעונש, פיצוי בסך 40,000 ₪ לטובת המתלוננת. </w:t>
            </w:r>
          </w:p>
          <w:p w:rsidR="00DF0408" w:rsidRDefault="00DF0408" w:rsidP="00DF0408">
            <w:pPr>
              <w:pStyle w:val="a0"/>
              <w:numPr>
                <w:ilvl w:val="0"/>
                <w:numId w:val="0"/>
              </w:numPr>
              <w:tabs>
                <w:tab w:val="left" w:pos="720"/>
              </w:tabs>
              <w:spacing w:after="0"/>
              <w:ind w:left="720"/>
              <w:jc w:val="both"/>
              <w:rPr>
                <w:rtl/>
              </w:rPr>
            </w:pPr>
          </w:p>
          <w:p w:rsidR="00DF0408" w:rsidRDefault="00DF0408" w:rsidP="00DF0408">
            <w:pPr>
              <w:pStyle w:val="a0"/>
              <w:numPr>
                <w:ilvl w:val="0"/>
                <w:numId w:val="0"/>
              </w:numPr>
              <w:tabs>
                <w:tab w:val="left" w:pos="720"/>
              </w:tabs>
              <w:spacing w:after="0"/>
              <w:ind w:left="-1"/>
              <w:jc w:val="both"/>
              <w:rPr>
                <w:b/>
                <w:bCs/>
                <w:rtl/>
                <w:lang w:eastAsia="he-IL"/>
              </w:rPr>
            </w:pPr>
            <w:r>
              <w:rPr>
                <w:rFonts w:hint="cs"/>
                <w:b/>
                <w:bCs/>
                <w:u w:val="single"/>
                <w:rtl/>
              </w:rPr>
              <w:t>ראיות לעונש</w:t>
            </w:r>
          </w:p>
          <w:p w:rsidR="00DF0408" w:rsidRDefault="00DF0408" w:rsidP="00DF0408">
            <w:pPr>
              <w:pStyle w:val="a0"/>
              <w:jc w:val="both"/>
              <w:rPr>
                <w:rtl/>
                <w:lang w:eastAsia="he-IL"/>
              </w:rPr>
            </w:pPr>
            <w:r>
              <w:rPr>
                <w:rFonts w:hint="cs"/>
                <w:b/>
                <w:bCs/>
                <w:rtl/>
                <w:lang w:eastAsia="he-IL"/>
              </w:rPr>
              <w:t xml:space="preserve">תסקיר נפגעת העבירה – </w:t>
            </w:r>
            <w:r>
              <w:rPr>
                <w:rFonts w:hint="cs"/>
                <w:rtl/>
                <w:lang w:eastAsia="he-IL"/>
              </w:rPr>
              <w:t>[הושמט].</w:t>
            </w:r>
          </w:p>
          <w:p w:rsidR="00DF0408" w:rsidRDefault="00DF0408" w:rsidP="00DF0408">
            <w:pPr>
              <w:pStyle w:val="a0"/>
              <w:numPr>
                <w:ilvl w:val="0"/>
                <w:numId w:val="0"/>
              </w:numPr>
              <w:tabs>
                <w:tab w:val="left" w:pos="720"/>
              </w:tabs>
              <w:spacing w:after="0"/>
              <w:ind w:left="720"/>
              <w:jc w:val="both"/>
              <w:rPr>
                <w:lang w:eastAsia="he-IL"/>
              </w:rPr>
            </w:pPr>
          </w:p>
          <w:p w:rsidR="00DF0408" w:rsidRDefault="00DF0408" w:rsidP="00DF0408">
            <w:pPr>
              <w:pStyle w:val="a0"/>
              <w:spacing w:after="0"/>
              <w:jc w:val="both"/>
              <w:rPr>
                <w:rtl/>
                <w:lang w:eastAsia="he-IL"/>
              </w:rPr>
            </w:pPr>
            <w:r>
              <w:rPr>
                <w:rFonts w:hint="cs"/>
                <w:rtl/>
                <w:lang w:eastAsia="he-IL"/>
              </w:rPr>
              <w:t>ר', אחיה של המתלוננת שהעיד במעמד הטיעונים לעונש, עמד אף הוא על הנזק החמור שנגרם לאחותו כתוצאה ממעשי הנאשם, לדבריו המתלוננת אינה הולכת לאירועים וסובלת מהתקפי חרדה. המשפחה עברה טלטלה לאחר מות האחות וממוקדת בגידול ילדיה, שאינם מודעים למעשים שביצע הנאשם.</w:t>
            </w:r>
          </w:p>
          <w:p w:rsidR="00DF0408" w:rsidRDefault="00DF0408" w:rsidP="00DF0408">
            <w:pPr>
              <w:pStyle w:val="a0"/>
              <w:numPr>
                <w:ilvl w:val="0"/>
                <w:numId w:val="0"/>
              </w:numPr>
              <w:tabs>
                <w:tab w:val="left" w:pos="720"/>
              </w:tabs>
              <w:ind w:left="720"/>
              <w:jc w:val="both"/>
              <w:rPr>
                <w:lang w:eastAsia="he-IL"/>
              </w:rPr>
            </w:pPr>
          </w:p>
          <w:p w:rsidR="00DF0408" w:rsidRDefault="00DF0408" w:rsidP="00DF0408">
            <w:pPr>
              <w:pStyle w:val="af0"/>
              <w:jc w:val="both"/>
            </w:pPr>
            <w:r>
              <w:rPr>
                <w:rtl/>
              </w:rPr>
              <w:t>טיעוני הצדדים</w:t>
            </w:r>
          </w:p>
          <w:p w:rsidR="00DF0408" w:rsidRDefault="00DF0408" w:rsidP="00DF0408">
            <w:pPr>
              <w:pStyle w:val="a0"/>
              <w:spacing w:after="0"/>
              <w:jc w:val="both"/>
            </w:pPr>
            <w:r>
              <w:rPr>
                <w:rFonts w:hint="cs"/>
                <w:b/>
                <w:bCs/>
                <w:rtl/>
              </w:rPr>
              <w:t>ב"כ המאשימה</w:t>
            </w:r>
            <w:r>
              <w:rPr>
                <w:rFonts w:hint="cs"/>
                <w:rtl/>
              </w:rPr>
              <w:t xml:space="preserve">, עו"ד דודי ענבר, הדגיש בטיעוניו כי המעשים בהם הורשע הנאשם הם חמורים ומכוערים. המעשים בוצעו בבית הנאשם כשהוא מנצל את האירוח שהעניק למתלוננת כדי לפגוע בה, לשיטת המאשימה לא מדובר רק בניצול אלא בשליטה של ממש על המתלוננת, הנאשם ניסה לשלוט בה והחפיץ אותה. עוד הפנה לתסקיר נפגעת עבירה המתאר את הנזק שנגרם למתלוננת. לטענת המאשימה, מעשי הנאשם פגעו באופן משמעותי בערכים המוגנים ובכללם הזכות לשלמות הגוף והנפש של הקטינה, זכותה לכבוד ולאוטונומיה על גופה, כשרף הפגיעה גבוה מאוד, בהיות נפגעת העבירה קטינה ונוכח ריבוי המעשים. בהתאם להסדר הטיעון, עתרה המאשימה לעונש ראוי של 9 שנות מאסר ולענישה נלווית הכוללת פיצוי בסך 40,000 ₪, לטענתה מדובר בעונש שאינו חמור, כשברקע ההסדר הרצון לייתר את עדות המתלוננת וללכת לקראת הנאשם בשל הנסיבות המשפחתיות המורכבות. עוד הפנתה המאשימה לאסופת פסיקה, שבה במקרים חמורים פחות, שלא כללו עבירת אונס, הושתו על נאשמים עונשים דומים ואף חמורים יותר. </w:t>
            </w:r>
          </w:p>
          <w:p w:rsidR="00DF0408" w:rsidRDefault="00DF0408" w:rsidP="00DF0408">
            <w:pPr>
              <w:pStyle w:val="a0"/>
              <w:numPr>
                <w:ilvl w:val="0"/>
                <w:numId w:val="0"/>
              </w:numPr>
              <w:tabs>
                <w:tab w:val="left" w:pos="720"/>
              </w:tabs>
              <w:spacing w:after="0"/>
              <w:ind w:left="720"/>
              <w:jc w:val="both"/>
              <w:rPr>
                <w:rtl/>
              </w:rPr>
            </w:pPr>
          </w:p>
          <w:p w:rsidR="00DF0408" w:rsidRDefault="00DF0408" w:rsidP="00DF0408">
            <w:pPr>
              <w:pStyle w:val="a0"/>
              <w:spacing w:after="0"/>
              <w:jc w:val="both"/>
              <w:rPr>
                <w:rtl/>
              </w:rPr>
            </w:pPr>
            <w:r>
              <w:rPr>
                <w:rFonts w:hint="cs"/>
                <w:b/>
                <w:bCs/>
                <w:rtl/>
              </w:rPr>
              <w:t>ב"כ הנאשם</w:t>
            </w:r>
            <w:r>
              <w:rPr>
                <w:rFonts w:hint="cs"/>
                <w:rtl/>
              </w:rPr>
              <w:t xml:space="preserve">, עו"ד שוש חיון, טענה כי הצדדים הגיעו להסדר הטיעון עקב קשיים ראייתיים וכדי לייתר את עדות המתלוננת, לדבריה עדות האחות צמצמה את הפערים ביניהם. עוד עמדה על המאמצים הרבים שעשה הנאשם כדי </w:t>
            </w:r>
            <w:r>
              <w:rPr>
                <w:rFonts w:hint="cs"/>
                <w:rtl/>
              </w:rPr>
              <w:lastRenderedPageBreak/>
              <w:t xml:space="preserve">להפקיד את הפיצוי המוסכם, הוא פרע את כספי הפנסיה וחסכונות ונותר חסר כל וללא גורמי תמיכה. אשר לנסיבות המעשה הדגישה הסניגורית כי אלו בוצעו ללא שימוש בכח או באיומים, וכי לא מדובר במקרים שאירעו בתדירות רבה אלא במקרים נקודתיים. עוד ביקשה להתייחס למכלול המקרים כאירוע אחד ולקבוע מתחם עונשי כולל הנע בין 5-7 שנות מאסר. אשר לנאשם, נטען כי הוא בן 43, ללא עבר פלילי, אמו נפטרה ולאחר שאביו נשא אשה אחרת חווה ניכור, בגיל 9 עלה לארץ, שירת בצבא כלוחם בחטיבת הנח"ל. עוד ביקשה לתת משקל להודאת הנאשם שמלמדת על תובנה לחומרת מעשיו, הנאשם מביע חרטה על מעשיו ומכה על חטא, עוד מביע נזקקות טיפולית ונכונות ליטול חלק בכל טיפול המותאם למצבו. הנאשם עצור כשנתיים, השתלב במדרשה ומנהל אורח חיים דתי. עוד עמדה על פגיעת המאסר בנאשם ובילדיו  הקשורים אליו, אשר התייתמו מאימם, הוא מדבר איתם מדי יום ומשלם מחיר כבד מאד כי לא יכול להיפגש איתם. הסניגורית הפנתה לפסיקה רלוונטית. </w:t>
            </w:r>
          </w:p>
          <w:p w:rsidR="00DF0408" w:rsidRDefault="00DF0408" w:rsidP="00DF0408">
            <w:pPr>
              <w:pStyle w:val="af"/>
              <w:rPr>
                <w:rtl/>
              </w:rPr>
            </w:pPr>
          </w:p>
          <w:p w:rsidR="00DF0408" w:rsidRDefault="00DF0408" w:rsidP="00DF0408">
            <w:pPr>
              <w:pStyle w:val="a0"/>
              <w:spacing w:after="0"/>
              <w:jc w:val="both"/>
            </w:pPr>
            <w:r>
              <w:rPr>
                <w:rFonts w:hint="cs"/>
                <w:b/>
                <w:bCs/>
                <w:rtl/>
              </w:rPr>
              <w:t>הנאשם בדברו האחרון</w:t>
            </w:r>
            <w:r>
              <w:rPr>
                <w:rFonts w:hint="cs"/>
                <w:rtl/>
              </w:rPr>
              <w:t xml:space="preserve"> נטל אחריות על מעשיו, לדבריו מבין כי פגע בציפור הנפש של המתלוננת, מודע לכך שהייתה חלק בלתי נפרד מילדיו ועל כן מבקש סליחה. עוד הוסיף, כי במהלך השנתיים האחרונות עושה עם עצמו חשבון נפש ומבין את חומרת מעשיו. </w:t>
            </w:r>
          </w:p>
          <w:p w:rsidR="00DF0408" w:rsidRDefault="00DF0408" w:rsidP="00DF0408">
            <w:pPr>
              <w:pStyle w:val="af"/>
              <w:rPr>
                <w:rtl/>
              </w:rPr>
            </w:pPr>
          </w:p>
          <w:p w:rsidR="00DF0408" w:rsidRDefault="00DF0408" w:rsidP="00DF0408">
            <w:pPr>
              <w:pStyle w:val="af0"/>
              <w:jc w:val="both"/>
            </w:pPr>
            <w:r>
              <w:rPr>
                <w:sz w:val="28"/>
                <w:szCs w:val="28"/>
                <w:rtl/>
              </w:rPr>
              <w:t xml:space="preserve">דיון והכרעה </w:t>
            </w:r>
          </w:p>
          <w:p w:rsidR="00DF0408" w:rsidRDefault="00DF0408" w:rsidP="00DF0408">
            <w:pPr>
              <w:pStyle w:val="af0"/>
              <w:jc w:val="both"/>
              <w:rPr>
                <w:rtl/>
              </w:rPr>
            </w:pPr>
            <w:r>
              <w:rPr>
                <w:rtl/>
              </w:rPr>
              <w:t>קביעת מתחם העונש ההולם</w:t>
            </w:r>
          </w:p>
          <w:p w:rsidR="00DF0408" w:rsidRDefault="00DF0408" w:rsidP="00DF0408">
            <w:pPr>
              <w:pStyle w:val="a0"/>
              <w:spacing w:after="0"/>
              <w:jc w:val="both"/>
              <w:rPr>
                <w:rtl/>
              </w:rPr>
            </w:pPr>
            <w:r>
              <w:rPr>
                <w:rFonts w:hint="cs"/>
                <w:rtl/>
              </w:rPr>
              <w:t xml:space="preserve">כתב האישום כולל חמישה אישומים, בכולם מיוחסות לנאשם עבירות מין כלפי אחות אשתו בעת שהייתה בגילאים 12-14. אף שמדובר בעבירות בעלות חומרה שונה, מתקיים בהן דפוס דומה של מעשים, במהלך למעלה משנתיים, וניתן לראות בכך סדרה אחת של מעשים שקיים ביניהם קשר ענייני הדוק במסגרת פרשייה אחת. לפיכך ובהתאם למבחני הפסיקה שנקבעו בפסיקה, אנו סבורים כי יש מקום לקבוע מתחם עונש כולל למעשים שבוצעו כלפי נפגעת עבירה (ע"פ 4910/13 </w:t>
            </w:r>
            <w:r>
              <w:rPr>
                <w:rFonts w:hint="cs"/>
                <w:b/>
                <w:bCs/>
                <w:rtl/>
              </w:rPr>
              <w:t>ג'אבר נ' מדינת ישראל</w:t>
            </w:r>
            <w:r>
              <w:rPr>
                <w:rFonts w:hint="cs"/>
                <w:rtl/>
              </w:rPr>
              <w:t xml:space="preserve"> (29.10.2014) ובע"פ 319/17 </w:t>
            </w:r>
            <w:r>
              <w:rPr>
                <w:rFonts w:hint="cs"/>
                <w:b/>
                <w:bCs/>
                <w:rtl/>
              </w:rPr>
              <w:t>פלוני נ' מדינת ישראל</w:t>
            </w:r>
            <w:r>
              <w:rPr>
                <w:rFonts w:hint="cs"/>
                <w:rtl/>
              </w:rPr>
              <w:t xml:space="preserve"> (19.7.2018)).</w:t>
            </w:r>
          </w:p>
          <w:p w:rsidR="00DF0408" w:rsidRDefault="00DF0408" w:rsidP="00DF0408">
            <w:pPr>
              <w:pStyle w:val="a0"/>
              <w:numPr>
                <w:ilvl w:val="0"/>
                <w:numId w:val="0"/>
              </w:numPr>
              <w:tabs>
                <w:tab w:val="left" w:pos="720"/>
              </w:tabs>
              <w:spacing w:after="0"/>
              <w:ind w:left="720"/>
              <w:jc w:val="both"/>
            </w:pPr>
          </w:p>
          <w:p w:rsidR="00DF0408" w:rsidRDefault="00DF0408" w:rsidP="00DF0408">
            <w:pPr>
              <w:pStyle w:val="a0"/>
              <w:jc w:val="both"/>
              <w:rPr>
                <w:sz w:val="27"/>
                <w:szCs w:val="27"/>
                <w:rtl/>
              </w:rPr>
            </w:pPr>
            <w:r>
              <w:rPr>
                <w:rFonts w:hint="cs"/>
                <w:rtl/>
              </w:rPr>
              <w:t>הנאשם פגע בשורה של ערכים מוגנים ובראשם כבודה, נפשה וגופה של המתלוננת, זכותה לחירות, לאוטונומיה על גופה, ביטחונה האישי וזכותה לפרטיות. כאשר העבירות מבוצעות כלפי קטין, בפרט במסגרת המשפחה המורחבת נפגע הערך של הגנה על קטינים מפני ניצולם לרעה בשל גילם, יחסי התלות, הקרבה והאמון שנותן הקטין בקרוב משפחתו הפוגע וכן ההגנה על התפתחותו הנפשית התקינה ומניעת פגיעה בשגרת חייו ובביטחונו האישי.</w:t>
            </w:r>
            <w:r>
              <w:rPr>
                <w:rFonts w:hint="cs"/>
                <w:sz w:val="27"/>
                <w:szCs w:val="27"/>
                <w:rtl/>
              </w:rPr>
              <w:t>  </w:t>
            </w:r>
          </w:p>
          <w:p w:rsidR="00DF0408" w:rsidRDefault="00DF0408" w:rsidP="00DF0408">
            <w:pPr>
              <w:spacing w:line="360" w:lineRule="atLeast"/>
              <w:ind w:left="720"/>
              <w:jc w:val="both"/>
              <w:rPr>
                <w:color w:val="000000"/>
              </w:rPr>
            </w:pPr>
            <w:r>
              <w:rPr>
                <w:rFonts w:ascii="David" w:hAnsi="David"/>
                <w:color w:val="000000"/>
                <w:rtl/>
              </w:rPr>
              <w:t>ראו בהקשר זה פסיקת בית המשפט העליון ב</w:t>
            </w:r>
            <w:r>
              <w:rPr>
                <w:rFonts w:ascii="David" w:eastAsia="David" w:hAnsi="David"/>
                <w:rtl/>
              </w:rPr>
              <w:t xml:space="preserve">ע"פ 4713/17 </w:t>
            </w:r>
            <w:r>
              <w:rPr>
                <w:rFonts w:ascii="David" w:hAnsi="David"/>
                <w:b/>
                <w:bCs/>
                <w:color w:val="000000"/>
                <w:rtl/>
              </w:rPr>
              <w:t>פלוני נ' מדינת ישראל</w:t>
            </w:r>
            <w:r>
              <w:rPr>
                <w:rFonts w:ascii="David" w:hAnsi="David"/>
                <w:color w:val="000000"/>
                <w:rtl/>
              </w:rPr>
              <w:t> (18.6.2018):</w:t>
            </w:r>
          </w:p>
          <w:p w:rsidR="00DF0408" w:rsidRDefault="00DF0408" w:rsidP="00DF0408">
            <w:pPr>
              <w:spacing w:line="360" w:lineRule="atLeast"/>
              <w:ind w:left="465" w:hanging="465"/>
              <w:jc w:val="both"/>
              <w:rPr>
                <w:color w:val="000000"/>
                <w:rtl/>
              </w:rPr>
            </w:pPr>
            <w:r>
              <w:rPr>
                <w:rFonts w:ascii="David" w:hAnsi="David"/>
                <w:color w:val="000000"/>
                <w:rtl/>
              </w:rPr>
              <w:t> </w:t>
            </w:r>
          </w:p>
          <w:p w:rsidR="00DF0408" w:rsidRDefault="00DF0408" w:rsidP="00DF0408">
            <w:pPr>
              <w:pStyle w:val="a0"/>
              <w:numPr>
                <w:ilvl w:val="0"/>
                <w:numId w:val="0"/>
              </w:numPr>
              <w:tabs>
                <w:tab w:val="left" w:pos="720"/>
              </w:tabs>
              <w:spacing w:after="0"/>
              <w:ind w:left="1440" w:right="567"/>
              <w:jc w:val="both"/>
              <w:rPr>
                <w:b/>
                <w:bCs/>
                <w:rtl/>
              </w:rPr>
            </w:pPr>
            <w:r>
              <w:rPr>
                <w:rFonts w:hint="cs"/>
                <w:rtl/>
              </w:rPr>
              <w:t>"</w:t>
            </w:r>
            <w:r>
              <w:rPr>
                <w:rFonts w:hint="cs"/>
                <w:b/>
                <w:bCs/>
                <w:rtl/>
              </w:rPr>
              <w:t xml:space="preserve">עבירות מין הן מן העבירות החמורות ביותר בספר החוקים. ביצוען פוגע בערכים חברתיים מהחשובים במעלה, ובניהם הביטחון האישי של בני ושל בנות החברה, האוטונומיה של נפגעת העבירה, כבוד האדם ושלמות הגוף. עבירות מין הן לא רק עבירות חמורות, אך הן בעלות מאפיינים ייחודיים. אכן, עבירה איננה רק כותרת. המהות של העבירה עניינה טיב הפגיעה בקורבן. עבור </w:t>
            </w:r>
            <w:r>
              <w:rPr>
                <w:rFonts w:hint="cs"/>
                <w:b/>
                <w:bCs/>
                <w:rtl/>
              </w:rPr>
              <w:lastRenderedPageBreak/>
              <w:t>נפגעת העבירה פעמים רבות העבירה, שבוצעה תוך זמן קצר ביותר, תשנה את חייה ללא היכר. נפגעת העבירה מאנישה את האינטרס הציבורי. הדברים נכונים ביתר שאת מקום בו מדובר בעבירת מין שבוצעה בקטינה, ובפרט על ידי בן משפחתה".</w:t>
            </w:r>
          </w:p>
          <w:p w:rsidR="00DF0408" w:rsidRDefault="00DF0408" w:rsidP="00DF0408">
            <w:pPr>
              <w:pStyle w:val="a0"/>
              <w:numPr>
                <w:ilvl w:val="0"/>
                <w:numId w:val="0"/>
              </w:numPr>
              <w:tabs>
                <w:tab w:val="left" w:pos="720"/>
              </w:tabs>
              <w:spacing w:after="0"/>
              <w:ind w:left="720"/>
              <w:jc w:val="both"/>
              <w:rPr>
                <w:b/>
                <w:bCs/>
                <w:rtl/>
              </w:rPr>
            </w:pPr>
          </w:p>
          <w:p w:rsidR="00DF0408" w:rsidRDefault="00DF0408" w:rsidP="00DF0408">
            <w:pPr>
              <w:pStyle w:val="a0"/>
              <w:spacing w:after="0"/>
              <w:jc w:val="both"/>
              <w:rPr>
                <w:rtl/>
              </w:rPr>
            </w:pPr>
            <w:r>
              <w:rPr>
                <w:rFonts w:hint="cs"/>
                <w:rtl/>
              </w:rPr>
              <w:t xml:space="preserve">הנאשם היה נשוי לאחותה הגדולה של המתלוננת, פגיעותיו המיניות החלו בסמוך לגירושיו מהאחות. בהתאם לסעיף 351(ה)(2) מוגדר "גיס" כבן משפחה, עם זאת, בהתאם לפסיקת בית המשפט העליון, בדומה לפרשנות אשר נקבעה למונח "דוֹד", לא יוגדר בעל האחות ככזה לאחר גירושיהם  (ראו 3583/20 </w:t>
            </w:r>
            <w:r>
              <w:rPr>
                <w:rFonts w:hint="cs"/>
                <w:b/>
                <w:bCs/>
                <w:rtl/>
              </w:rPr>
              <w:t>פלוני נ' מדינת ישראל</w:t>
            </w:r>
            <w:r>
              <w:rPr>
                <w:rFonts w:hint="cs"/>
                <w:rtl/>
              </w:rPr>
              <w:t xml:space="preserve"> (9.11.2020), כב' השופט שטיין, פס' 30; כב' השופט פוגלמן, פיסקה 3); ע"פ 1523/05 </w:t>
            </w:r>
            <w:r>
              <w:rPr>
                <w:rFonts w:hint="cs"/>
                <w:b/>
                <w:bCs/>
                <w:rtl/>
              </w:rPr>
              <w:t>פלוני נ' מדינת ישראל</w:t>
            </w:r>
            <w:r>
              <w:rPr>
                <w:rFonts w:hint="cs"/>
                <w:rtl/>
              </w:rPr>
              <w:t xml:space="preserve"> (2.3.2006)). ואולם, אין בכך כדי להקהות מהחומרה יתרה המאפיינת עבירות מין המבוצעות בקטינה על ידי מי שהיה במשך שנים ארוכות בן בית ובעלה של אחותה הגדולה שאליה הייתה קשורה המתלוננת בעבותות, הפגיעות המיניות במתלוננת החלו במהלך אותו חודש שבו התגרש הנאשם מהאחות (9/19), ונוכח מחלת האחות היא נאלצה להעדר מהבית לתקופות ארוכות לצורך טיפולים רפואיים, כשילדיהם המשותפים של האחות והנאשם גדלו באומנה בבית הסבים לצד המתלוננת. </w:t>
            </w:r>
          </w:p>
          <w:p w:rsidR="00DF0408" w:rsidRDefault="00DF0408" w:rsidP="00DF0408">
            <w:pPr>
              <w:pStyle w:val="a0"/>
              <w:numPr>
                <w:ilvl w:val="0"/>
                <w:numId w:val="0"/>
              </w:numPr>
              <w:tabs>
                <w:tab w:val="left" w:pos="720"/>
              </w:tabs>
              <w:spacing w:after="0"/>
              <w:ind w:left="720"/>
              <w:jc w:val="both"/>
            </w:pPr>
          </w:p>
          <w:p w:rsidR="00DF0408" w:rsidRDefault="00DF0408" w:rsidP="00DF0408">
            <w:pPr>
              <w:pStyle w:val="a0"/>
              <w:spacing w:after="0"/>
              <w:jc w:val="both"/>
            </w:pPr>
            <w:r>
              <w:rPr>
                <w:rFonts w:hint="cs"/>
                <w:b/>
                <w:bCs/>
                <w:rtl/>
              </w:rPr>
              <w:t>מעשיו של הנאשם קשים וחמורים ופגעו בערכים המוגנים ברף משמעותי, זאת נוכח אופיים של מעשי הפגיעה המינית שביצע הנאשם במתלוננת, שכללו מעשים מגונים מסוגים שונים וברף גבוה ומעשה אונס, ובשל תדירותם, ריבוים, משכם, דרך ביצועם ומקום ביצועם, כמו גם הניצול לרעה של יחסי הקרבה והאמון הכרוך בהם ופערי הגילאים בין הנאשם לבין המתלוננת.</w:t>
            </w:r>
            <w:r>
              <w:rPr>
                <w:rFonts w:hint="cs"/>
                <w:sz w:val="27"/>
                <w:szCs w:val="27"/>
                <w:rtl/>
              </w:rPr>
              <w:t> </w:t>
            </w:r>
            <w:r>
              <w:rPr>
                <w:rFonts w:hint="cs"/>
                <w:rtl/>
              </w:rPr>
              <w:t xml:space="preserve">הנאשם היה נשוי לאחותה הגדולה של המתלוננת במשך כעשור ונולדו להם שני ילדים, בני הזוג התגרשו בחודש ספטמבר 2019, ילדיהם גדלו ביחד עם המתלוננת בבית הסבים, וכשביקרו את הנאשם בדירתו המתלוננת התלוותה אליהם כדי לסייע לנאשם לטפל בהם. על אף שבין הנאשם למתלוננת אין קשר דם, ניכר כי היה מדובר בקשר משפחתי קרוב, הנאשם הודה בדבריו לעונש כי המתלוננת הייתה חלק בלתי נפרד מילדיו.   </w:t>
            </w:r>
          </w:p>
          <w:p w:rsidR="00DF0408" w:rsidRDefault="00DF0408" w:rsidP="00DF0408">
            <w:pPr>
              <w:pStyle w:val="a0"/>
              <w:numPr>
                <w:ilvl w:val="0"/>
                <w:numId w:val="0"/>
              </w:numPr>
              <w:tabs>
                <w:tab w:val="left" w:pos="720"/>
              </w:tabs>
              <w:spacing w:after="0"/>
              <w:ind w:left="720"/>
              <w:jc w:val="both"/>
              <w:rPr>
                <w:rtl/>
              </w:rPr>
            </w:pPr>
          </w:p>
          <w:p w:rsidR="00DF0408" w:rsidRPr="00DF0408" w:rsidRDefault="00DF0408" w:rsidP="00DF0408">
            <w:pPr>
              <w:pStyle w:val="a0"/>
              <w:spacing w:after="0"/>
              <w:jc w:val="both"/>
            </w:pPr>
            <w:r>
              <w:rPr>
                <w:rFonts w:hint="cs"/>
                <w:rtl/>
              </w:rPr>
              <w:t xml:space="preserve">הנאשם ביצע כלפי המתלוננת עבירות מין חמורות, והשתמש בגופה ככלי זמין לסיפוק יצריו הנאלחים תוך ניצול תמימותה וזמינותה. המעשים בוצעו כשהמתלוננת הייתה בגילאי 12-14 ובמהלך למעלה משנתיים (מספטמבר 19' עד לאחר שמלאו לה 14 בספטמבר 21'), הנאשם צפה בה מתקלחת, זו עשתה לעיתים בהתאם להנחייתו, ליקק את איבר מינה והחמור מכל, במקרה אחד אף אנס אותה. הנאשם ניצל את הגעתה לביתו לצד הילדים, את העובדה שהילדים שיחקו לעיתים בחצר וכך נותר בדירתו ביחידות עם המתלוננת, הוא מעל באמון שנתנה בו המתלוננת ובני משפחתה, ניצל את גילה הצעיר ואת הקרבה המשפחתית ביניהם, הוא ביקש, הִנחה ודרש מהמתלוננת, וזו נעתרה לכל מה שביקש ועשתה כדבריו. הנאשם הפסיק את מעשיו בחלק מהאירועים אך משום שילדיו נכנסו לבית, כשלא הצליח בהזדמנות הראשונה לבצע במתלוננת מעשה אינוס, הורה לה לשנות תנוחה, ביצע בה את זממו וחדל רק לאחר ששמע את ילדיו נכנסים לבית. העובדה שהנאשם לא נקט באלימות פיזית נפרדת מעבירת המין או באיומים כדי לכפות את רצונו על המתלוננת אינה מהווה נימוק לקולה, אך מובן הדבר שאילו היה עושה כן, היה </w:t>
            </w:r>
            <w:r w:rsidRPr="00DF0408">
              <w:rPr>
                <w:rtl/>
              </w:rPr>
              <w:t xml:space="preserve">הדבר מהווה שיקול נוסף לחומרה (ע"פ 4713/17 </w:t>
            </w:r>
            <w:r w:rsidRPr="00DF0408">
              <w:rPr>
                <w:b/>
                <w:bCs/>
                <w:rtl/>
              </w:rPr>
              <w:t>פלוני נ' מדינת ישראל</w:t>
            </w:r>
            <w:r w:rsidRPr="00DF0408">
              <w:rPr>
                <w:rtl/>
              </w:rPr>
              <w:t xml:space="preserve"> (18.6.2018)). הנאשם ביצע את מעשיו כדי </w:t>
            </w:r>
            <w:r w:rsidRPr="00DF0408">
              <w:rPr>
                <w:rStyle w:val="default"/>
                <w:rFonts w:ascii="David" w:eastAsia="Calibri" w:hAnsi="David" w:cs="David"/>
                <w:sz w:val="24"/>
                <w:szCs w:val="24"/>
                <w:rtl/>
              </w:rPr>
              <w:lastRenderedPageBreak/>
              <w:t xml:space="preserve">לספק את מאווייו המיניים תוך התעלמות מהשלכות מעשיו על חייה ועל חיי בני משפחתה, על ילדיו, ועל גרושתו שבאותה עת נאבקה במחלה קשה ונאלצה להתמודד במקביל עם חשיפת מעשיו. </w:t>
            </w:r>
            <w:r w:rsidRPr="00DF0408">
              <w:rPr>
                <w:rtl/>
              </w:rPr>
              <w:t xml:space="preserve">מעשיו של הנאשם גרמו למתלוננת נזק רב בכל מישורי חייה, נסיבותיה המשפחתיות המורכבות שפורטו בתסקירה מגבירים את עוצמת הנזק ומרחיבים את מעגלי הפגיעה עימם היא נאלצת להתמודד. </w:t>
            </w:r>
          </w:p>
          <w:p w:rsidR="00DF0408" w:rsidRDefault="00DF0408" w:rsidP="00DF0408">
            <w:pPr>
              <w:pStyle w:val="a0"/>
              <w:numPr>
                <w:ilvl w:val="0"/>
                <w:numId w:val="0"/>
              </w:numPr>
              <w:tabs>
                <w:tab w:val="left" w:pos="720"/>
              </w:tabs>
              <w:spacing w:after="0" w:line="360" w:lineRule="atLeast"/>
              <w:ind w:left="720"/>
              <w:jc w:val="both"/>
              <w:rPr>
                <w:rtl/>
              </w:rPr>
            </w:pPr>
          </w:p>
          <w:p w:rsidR="00DF0408" w:rsidRDefault="00DF0408" w:rsidP="00DF0408">
            <w:pPr>
              <w:pStyle w:val="a0"/>
              <w:spacing w:after="0"/>
              <w:jc w:val="both"/>
              <w:rPr>
                <w:rtl/>
              </w:rPr>
            </w:pPr>
            <w:r>
              <w:rPr>
                <w:rFonts w:hint="cs"/>
                <w:rtl/>
              </w:rPr>
              <w:t>חומרת העבירות בהן הורשע הנאשם נלמדת גם מהעונש המרבי הקבוע לצדן, העומד על 20 שנות מאסר בגין עבירת אינוס בנסיבות מחמירות בקטינה שטרם מלאו לה 16, הזהה ממילא לעונש המרבי הקבוע לצד עבירה דומה בבת משפחה, ועונש מרבי של 10 שנות מאסר העומד לצד עבירת מעשים מגונים בקטינה שטרם מלאו לה 16 שנים.</w:t>
            </w:r>
          </w:p>
          <w:p w:rsidR="00DF0408" w:rsidRDefault="00DF0408" w:rsidP="00DF0408">
            <w:pPr>
              <w:pStyle w:val="a0"/>
              <w:numPr>
                <w:ilvl w:val="0"/>
                <w:numId w:val="0"/>
              </w:numPr>
              <w:tabs>
                <w:tab w:val="left" w:pos="720"/>
              </w:tabs>
              <w:ind w:left="720"/>
              <w:jc w:val="both"/>
            </w:pPr>
            <w:r>
              <w:rPr>
                <w:rFonts w:hint="cs"/>
                <w:rtl/>
              </w:rPr>
              <w:t xml:space="preserve">העונש המזערי הקבוע בסעיף 355 לחוק מורה שהעונש בעבירות מין מסוג זה לא יפחת מרבע העונש המרבי, אלא אם כן קיימים טעמים מיוחדים שיירשמו להקל בעונשו. במקרה זה עונש המינימום בגין עבירת אינוס עומד על 5 שנות מאסר, ובעבירה אחת (והלא הנאשם הורשע בריבוי עבירות מסוג זה) של מעשה מגונה בנסיבות אינוס בקטינה בת משפחה שטרם מלאו לה 16, עומד על מאסר בן שנתיים וחצי. בקביעת עונש המינימום גילה המחוקק את דעתו כי בהעדר טעמים מיוחדים, יש לראות את חומרת העבירה כמצדיקה הטלת עונש שלא יפחת מהעונש המזערי (ע"פ 8500/22 </w:t>
            </w:r>
            <w:r>
              <w:rPr>
                <w:rFonts w:hint="cs"/>
                <w:b/>
                <w:bCs/>
                <w:rtl/>
              </w:rPr>
              <w:t>אביטבול נ' מדינת ישראל</w:t>
            </w:r>
            <w:r>
              <w:rPr>
                <w:rFonts w:hint="cs"/>
                <w:rtl/>
              </w:rPr>
              <w:t xml:space="preserve"> (10.7.2023); ע"פ 3565/22 </w:t>
            </w:r>
            <w:r>
              <w:rPr>
                <w:rFonts w:hint="cs"/>
                <w:b/>
                <w:bCs/>
                <w:rtl/>
              </w:rPr>
              <w:t>פלוני נ' מדינת ישראל</w:t>
            </w:r>
            <w:r>
              <w:rPr>
                <w:rFonts w:hint="cs"/>
                <w:rtl/>
              </w:rPr>
              <w:t xml:space="preserve"> (9.8.2023)).</w:t>
            </w:r>
          </w:p>
          <w:p w:rsidR="00DF0408" w:rsidRDefault="00DF0408" w:rsidP="00DF0408">
            <w:pPr>
              <w:pStyle w:val="a0"/>
              <w:numPr>
                <w:ilvl w:val="0"/>
                <w:numId w:val="0"/>
              </w:numPr>
              <w:tabs>
                <w:tab w:val="left" w:pos="720"/>
              </w:tabs>
              <w:ind w:left="720"/>
              <w:jc w:val="both"/>
              <w:rPr>
                <w:sz w:val="27"/>
                <w:szCs w:val="27"/>
              </w:rPr>
            </w:pPr>
            <w:r>
              <w:rPr>
                <w:rFonts w:hint="cs"/>
                <w:rtl/>
              </w:rPr>
              <w:t xml:space="preserve">לעונש המזערי ראוי גם שתהיה השפעה על מתחם העונש ההולם, כך שככלל הרף התחתון של מתחם העונש ההולם לא יהיה נמוך מהעונש המזערי, אלא אם קיימים טעמים מיוחדים שיצדיקו קביעת רף תחתון נמוך יותר (ע"פ 4876/15 </w:t>
            </w:r>
            <w:r>
              <w:rPr>
                <w:rFonts w:hint="cs"/>
                <w:b/>
                <w:bCs/>
                <w:rtl/>
              </w:rPr>
              <w:t>פלוני נ' מדינת ישראל</w:t>
            </w:r>
            <w:r>
              <w:rPr>
                <w:rFonts w:hint="cs"/>
                <w:rtl/>
              </w:rPr>
              <w:t xml:space="preserve">, פס' 31 (3.12.2015); ע"פ 1288/17 </w:t>
            </w:r>
            <w:r>
              <w:rPr>
                <w:rFonts w:hint="cs"/>
                <w:b/>
                <w:bCs/>
                <w:rtl/>
              </w:rPr>
              <w:t>מדינת ישראל נ' שנהר</w:t>
            </w:r>
            <w:r>
              <w:rPr>
                <w:rFonts w:hint="cs"/>
                <w:rtl/>
              </w:rPr>
              <w:t xml:space="preserve">, פס' 23 (3.10.2017); ע"פ 5617/19 </w:t>
            </w:r>
            <w:r>
              <w:rPr>
                <w:rFonts w:hint="cs"/>
                <w:b/>
                <w:bCs/>
                <w:rtl/>
              </w:rPr>
              <w:t>מדינת ישראל נ' פלוני</w:t>
            </w:r>
            <w:r>
              <w:rPr>
                <w:rFonts w:hint="cs"/>
                <w:rtl/>
              </w:rPr>
              <w:t xml:space="preserve"> (26.8.2021)). זאת הגם שהעונש המזערי מתייחס הן לרכיב המאסר בפועל והן לרכיב המאסר על תנאי, ואילו הרף התחתון של מתחם העונש ההולם מתייחס, ככלל, לרכיב המאסר בפועל בלבד.</w:t>
            </w:r>
            <w:r>
              <w:rPr>
                <w:rFonts w:hint="cs"/>
                <w:sz w:val="27"/>
                <w:szCs w:val="27"/>
                <w:rtl/>
              </w:rPr>
              <w:t xml:space="preserve">      </w:t>
            </w:r>
          </w:p>
          <w:p w:rsidR="00DF0408" w:rsidRDefault="00DF0408" w:rsidP="00DF0408">
            <w:pPr>
              <w:spacing w:line="360" w:lineRule="atLeast"/>
              <w:ind w:left="465" w:hanging="465"/>
              <w:jc w:val="both"/>
              <w:rPr>
                <w:rStyle w:val="default"/>
                <w:rFonts w:eastAsia="Calibri"/>
              </w:rPr>
            </w:pPr>
          </w:p>
          <w:p w:rsidR="00DF0408" w:rsidRDefault="00DF0408" w:rsidP="00DF0408">
            <w:pPr>
              <w:pStyle w:val="a0"/>
              <w:spacing w:after="0"/>
              <w:jc w:val="both"/>
              <w:rPr>
                <w:rtl/>
              </w:rPr>
            </w:pPr>
            <w:r>
              <w:rPr>
                <w:rFonts w:hint="cs"/>
                <w:rtl/>
              </w:rPr>
              <w:t>בבחינת </w:t>
            </w:r>
            <w:r>
              <w:rPr>
                <w:rFonts w:hint="cs"/>
                <w:b/>
                <w:bCs/>
                <w:rtl/>
              </w:rPr>
              <w:t>מדיניות הענישה הנהוגה</w:t>
            </w:r>
            <w:r>
              <w:rPr>
                <w:rFonts w:hint="cs"/>
                <w:rtl/>
              </w:rPr>
              <w:t xml:space="preserve"> על בית המשפט לבחון ענישה שהוטלה על נאשמים  במקרים שנסיבותיהם דומות לנסיבות המקרה הנדון, תוך שימת לב להבחנות מתחייבות. </w:t>
            </w:r>
          </w:p>
          <w:p w:rsidR="00DF0408" w:rsidRDefault="00DF0408" w:rsidP="00DF0408">
            <w:pPr>
              <w:pStyle w:val="a0"/>
              <w:numPr>
                <w:ilvl w:val="0"/>
                <w:numId w:val="0"/>
              </w:numPr>
              <w:tabs>
                <w:tab w:val="left" w:pos="720"/>
              </w:tabs>
              <w:ind w:left="720"/>
              <w:jc w:val="both"/>
              <w:rPr>
                <w:rFonts w:ascii="Times New Roman" w:hAnsi="Times New Roman" w:cs="Times New Roman"/>
              </w:rPr>
            </w:pPr>
            <w:r>
              <w:rPr>
                <w:rFonts w:hint="cs"/>
                <w:rtl/>
              </w:rPr>
              <w:t xml:space="preserve">בעניין זה יפים דברי בית המשפט העליון בע"פ 760/18 </w:t>
            </w:r>
            <w:r>
              <w:rPr>
                <w:rFonts w:hint="cs"/>
                <w:b/>
                <w:bCs/>
                <w:rtl/>
              </w:rPr>
              <w:t>שושה נ' מדינת ישראל</w:t>
            </w:r>
            <w:r>
              <w:rPr>
                <w:rFonts w:hint="cs"/>
                <w:rtl/>
              </w:rPr>
              <w:t> (20.2.2017):    </w:t>
            </w:r>
          </w:p>
          <w:p w:rsidR="00DF0408" w:rsidRDefault="00DF0408" w:rsidP="00DF0408">
            <w:pPr>
              <w:pStyle w:val="a0"/>
              <w:numPr>
                <w:ilvl w:val="0"/>
                <w:numId w:val="0"/>
              </w:numPr>
              <w:tabs>
                <w:tab w:val="left" w:pos="720"/>
              </w:tabs>
              <w:spacing w:after="0"/>
              <w:ind w:left="1440" w:right="567"/>
              <w:jc w:val="both"/>
            </w:pPr>
            <w:r>
              <w:rPr>
                <w:rFonts w:hint="cs"/>
                <w:b/>
                <w:bCs/>
                <w:rtl/>
              </w:rPr>
              <w:t>" בבחינת מדיניות הענישה הנוהגת לא נדרש בית המשפט לאתר מקרים שיש ביניהם חפיפה מושלמת; שהרי המציאות אינה מזמנת במרבית המקרים אירועים</w:t>
            </w:r>
            <w:r>
              <w:rPr>
                <w:rFonts w:ascii="Times New Roman" w:hAnsi="Times New Roman" w:cs="Times New Roman"/>
                <w:b/>
                <w:bCs/>
                <w:rtl/>
              </w:rPr>
              <w:t xml:space="preserve"> </w:t>
            </w:r>
            <w:r>
              <w:rPr>
                <w:rFonts w:hint="cs"/>
                <w:b/>
                <w:bCs/>
                <w:rtl/>
              </w:rPr>
              <w:t>הזהים 'אחד לאחד' זה לזה. בבואו של בית המשפט להציב מתחם ענישה הולם עבור הנאשם שבפניו, עליו לאתר מקרים שיהיו דומים דיים להשוואה".</w:t>
            </w:r>
          </w:p>
          <w:p w:rsidR="00DF0408" w:rsidRDefault="00DF0408" w:rsidP="00DF0408">
            <w:pPr>
              <w:rPr>
                <w:rtl/>
              </w:rPr>
            </w:pPr>
          </w:p>
          <w:p w:rsidR="00DF0408" w:rsidRDefault="00DF0408" w:rsidP="00DF0408">
            <w:pPr>
              <w:pStyle w:val="a0"/>
              <w:spacing w:after="0"/>
              <w:jc w:val="both"/>
            </w:pPr>
            <w:r>
              <w:rPr>
                <w:rFonts w:hint="cs"/>
                <w:b/>
                <w:bCs/>
                <w:rtl/>
              </w:rPr>
              <w:t>בענייננו</w:t>
            </w:r>
            <w:r>
              <w:rPr>
                <w:rFonts w:hint="cs"/>
                <w:rtl/>
              </w:rPr>
              <w:t xml:space="preserve"> יש לתת את הדעת לכך שהנאשם אמנם לא הורשע בעבירות מין במשפחה, כיוון שבתקופה הרלוונטית התגרש מאחות המתלוננת, אך מבחינה מהותית נוכח סמיכות הזמנים בין מועד הגירושין ומועד תחילת הפגיעות והקשר המשפחתי שנותר קרוב וכלל ביקורים בבית הנאשם וגידול ילדי הנאשם בבית הורי המתלוננת, מדובר בעבירות מין בקטינה בסיטואציה דומה של הפרת אמון ופערי גיל ומעמד, ולכן יש להתייחס לדברים בשינויים </w:t>
            </w:r>
            <w:r>
              <w:rPr>
                <w:rFonts w:hint="cs"/>
                <w:rtl/>
              </w:rPr>
              <w:lastRenderedPageBreak/>
              <w:t xml:space="preserve">המחויבים. לכך נוסיף, כי הנאשם הורשע באונס הקטינה ובנוסף בריבוי עבירות של מעשה מגונה, חלקם ברף גבוה ומחמיר. עיון בפסיקה הנוהגת במקרים דומים מעלה כי הוטלו על נאשמים עונשי מאסר בפועל לתקופות ממושכות כמפורט להלן: </w:t>
            </w:r>
          </w:p>
          <w:p w:rsidR="00DF0408" w:rsidRDefault="00DF0408" w:rsidP="00DF0408">
            <w:pPr>
              <w:pStyle w:val="a0"/>
              <w:numPr>
                <w:ilvl w:val="0"/>
                <w:numId w:val="0"/>
              </w:numPr>
              <w:tabs>
                <w:tab w:val="left" w:pos="720"/>
              </w:tabs>
              <w:spacing w:after="0"/>
              <w:ind w:left="720"/>
              <w:jc w:val="both"/>
              <w:rPr>
                <w:rtl/>
              </w:rPr>
            </w:pPr>
          </w:p>
          <w:p w:rsidR="00DF0408" w:rsidRDefault="00DF0408" w:rsidP="00DF0408">
            <w:pPr>
              <w:pStyle w:val="a"/>
              <w:numPr>
                <w:ilvl w:val="1"/>
                <w:numId w:val="2"/>
              </w:numPr>
              <w:tabs>
                <w:tab w:val="num" w:pos="1286"/>
              </w:tabs>
              <w:ind w:left="1286" w:right="0" w:hanging="540"/>
              <w:jc w:val="both"/>
            </w:pPr>
            <w:r>
              <w:rPr>
                <w:rtl/>
              </w:rPr>
              <w:t xml:space="preserve">בע"פ 7451/23 </w:t>
            </w:r>
            <w:r>
              <w:rPr>
                <w:b/>
                <w:bCs/>
                <w:rtl/>
              </w:rPr>
              <w:t xml:space="preserve">פלוני נ' מדינת ישראל </w:t>
            </w:r>
            <w:r>
              <w:rPr>
                <w:rtl/>
              </w:rPr>
              <w:t xml:space="preserve">(29.9.2024), דחה בית המשפט העליון ערעור נאשם אשר הורשע לאחר ניהול הוכחות בעבירה של מעשה סדום בקטינה בת משפחה ושתי עבירות של מעשה מגונה בקטינה בת משפחה. הנאשם דודה של הקטינה, אז כבת 7, במקרה אחד החדיר את איבר </w:t>
            </w:r>
            <w:r>
              <w:rPr>
                <w:rStyle w:val="default"/>
                <w:rFonts w:eastAsia="Calibri" w:hint="cs"/>
                <w:rtl/>
              </w:rPr>
              <w:t>מינו</w:t>
            </w:r>
            <w:r>
              <w:rPr>
                <w:rtl/>
              </w:rPr>
              <w:t xml:space="preserve"> לפי הטבעת של הקטינה וגרם לה לכאב, ובשני מקרים נוספים ביצע בה מעשים מגונים, שכללו אירוע בו נגע באיבריה המוצנעים מעל לבגדיה, ואירוע בו הפשיל מכנסיו ושכב לצידה. בית המשפט המחוזי קבע מתחם עונש שנע בין</w:t>
            </w:r>
            <w:r>
              <w:rPr>
                <w:b/>
                <w:bCs/>
                <w:rtl/>
              </w:rPr>
              <w:t xml:space="preserve"> 9 ל-14 שנות מאסר</w:t>
            </w:r>
            <w:r>
              <w:rPr>
                <w:rtl/>
              </w:rPr>
              <w:t>. הנאשם בעל עבר פלילי שאינו מכביד, נדון לעונש של</w:t>
            </w:r>
            <w:r>
              <w:rPr>
                <w:b/>
                <w:bCs/>
                <w:rtl/>
              </w:rPr>
              <w:t xml:space="preserve"> 11 שנות מאסר </w:t>
            </w:r>
            <w:r>
              <w:rPr>
                <w:rtl/>
              </w:rPr>
              <w:t>לצד ענישה נלווית הכוללת פיצוי בסך 70,000 ₪ . בית המשפט העליון קבע בפסק דינו כי עונש המאסר שהוטל על הנאשם חמור אך הולם את חומרת מעשיו, מעשים המעוררים סלידה ושאט נפש.</w:t>
            </w:r>
          </w:p>
          <w:p w:rsidR="00DF0408" w:rsidRDefault="00DF0408" w:rsidP="00DF0408">
            <w:pPr>
              <w:pStyle w:val="a"/>
              <w:numPr>
                <w:ilvl w:val="1"/>
                <w:numId w:val="2"/>
              </w:numPr>
              <w:tabs>
                <w:tab w:val="num" w:pos="1286"/>
              </w:tabs>
              <w:ind w:left="1286" w:right="0" w:hanging="540"/>
              <w:jc w:val="both"/>
            </w:pPr>
            <w:r>
              <w:rPr>
                <w:rtl/>
              </w:rPr>
              <w:t xml:space="preserve">ע"פ 2189/23 </w:t>
            </w:r>
            <w:r>
              <w:rPr>
                <w:b/>
                <w:bCs/>
                <w:rtl/>
              </w:rPr>
              <w:t>אהרוני נ' מדינת ישראל</w:t>
            </w:r>
            <w:r>
              <w:rPr>
                <w:rtl/>
              </w:rPr>
              <w:t xml:space="preserve"> (20.2.2024) (הוגש ע"י ההגנה) – הנאשם, שהיה נשוי לאחותה הגדולה של הקטינה, הורשע, לאחר ניהול הוכחות, בביצוע עבירות מין בקטינה בהיותה בת 8-10 לערך, בעבירות של מעשה סדום בקטינה בת משפחה, אינוס בת משפחה שהיא קטינה ומעשים מגונים בבת משפחה. הנאשם זוכה מעבירה אחת של מעשה מגונה . בין היתר, הכניס הנאשם את איבר מינו לפי הקטינה בחוזקה עד שהקטינה החלה לבכות, במקרה אחר הנאשם נגע בישבנה של הקטינה והכניס את ידו מתחת לתחתוניה ונגע באיבר מינה, במקרה נוסף דחף את אצבעו לאיבר מינה והכאיב לה. </w:t>
            </w:r>
            <w:r>
              <w:rPr>
                <w:b/>
                <w:bCs/>
                <w:rtl/>
              </w:rPr>
              <w:t>על הנאשם נגזרו 6.5 שנות מאסר</w:t>
            </w:r>
            <w:r>
              <w:rPr>
                <w:rtl/>
              </w:rPr>
              <w:t>, מאסר על תנאי ופיצוי בסך 120,000 ₪. כתב האישום הוגש בשיהוי רב. בית המשפט העליון דחה את ערעור הנאשם על הכרעת דינו וחומרת העונש. חשובים בעיקר לענייננו דבריה הנוקבים של כב' השופטת וילנר בפסק הדין, לפיהם מתחם הענישה שנקבע,  6-14 שנים, רחוק מלשקף את מדיניות הענישה המחמירה הנהוגה בעבירות ממין דא, וכי העונש שנגזר על הנאשם "</w:t>
            </w:r>
            <w:r>
              <w:rPr>
                <w:b/>
                <w:bCs/>
                <w:rtl/>
              </w:rPr>
              <w:t>מקל באופן חריג, ואינו הולם, אף לא בקירוב, את חומרת מעשיו- זאת גם בהתחשב בחלוף הזמן ובקשיים בהתנהלות המשיבה</w:t>
            </w:r>
            <w:r>
              <w:rPr>
                <w:rtl/>
              </w:rPr>
              <w:t xml:space="preserve">" (שם, עמ' 20). </w:t>
            </w:r>
          </w:p>
          <w:p w:rsidR="00DF0408" w:rsidRDefault="00DF0408" w:rsidP="00DF0408">
            <w:pPr>
              <w:pStyle w:val="a"/>
              <w:numPr>
                <w:ilvl w:val="1"/>
                <w:numId w:val="2"/>
              </w:numPr>
              <w:tabs>
                <w:tab w:val="num" w:pos="1286"/>
              </w:tabs>
              <w:ind w:left="1286" w:right="0" w:hanging="540"/>
              <w:jc w:val="both"/>
              <w:rPr>
                <w:rFonts w:cs="Times New Roman"/>
              </w:rPr>
            </w:pPr>
            <w:r>
              <w:rPr>
                <w:rtl/>
              </w:rPr>
              <w:t xml:space="preserve">ע"פ 1998/23 </w:t>
            </w:r>
            <w:r>
              <w:rPr>
                <w:b/>
                <w:bCs/>
                <w:rtl/>
              </w:rPr>
              <w:t>פלוני נ' מדינת ישראל</w:t>
            </w:r>
            <w:r>
              <w:rPr>
                <w:rtl/>
              </w:rPr>
              <w:t xml:space="preserve"> (1.1.2024) - הנאשם הורשע, על יסוד הודאתו, בריבוי עבירות של מעשים מגונים באחותו הצעירה ממנו בכ-15 שנים, במשך כחמש שנים, טרם שמלאו לה 14 ועד שהייתה כבת 17, ובעבירה של מעשה סדום בקטינה בת משפחה מתחת לגיל 14. בין המעשים, הורשע הנאשם שליקק את איבר מינה, נגע באיבר מינה, הורה לה לאחוז בחוזקה באיבר מינו וללקק את איברו, לחץ על אזור פי הטבעת שלה, חיכך את איבר מינו בפי הטבעת שלה, בישבנה, בבטנה ובאיבר מינה וכן החדיר את אצבעותיו לפי הטבעת שלה. בית המשפט המחוזי קבע כי מתחם העונש ההולם נע</w:t>
            </w:r>
            <w:r>
              <w:rPr>
                <w:b/>
                <w:bCs/>
                <w:rtl/>
              </w:rPr>
              <w:t> בין 9 ל-15 שנות מאסר</w:t>
            </w:r>
            <w:r>
              <w:rPr>
                <w:rtl/>
              </w:rPr>
              <w:t>, והשית על הנאשם, נעדר עבר פלילי, </w:t>
            </w:r>
            <w:r>
              <w:rPr>
                <w:b/>
                <w:bCs/>
                <w:rtl/>
              </w:rPr>
              <w:t>9 שנות מאסר</w:t>
            </w:r>
            <w:r>
              <w:rPr>
                <w:rtl/>
              </w:rPr>
              <w:t>, מאסרים על תנאי ופיצוי לנפגעת העבירה בסך של 100,000 ₪. ערעור שהגיש הנאשם על גזר הדין נדחה, לאחר שקיבל את המלצת בית המשפט העליון למשוך ערעורו.</w:t>
            </w:r>
          </w:p>
          <w:p w:rsidR="00DF0408" w:rsidRDefault="00DF0408" w:rsidP="00DF0408">
            <w:pPr>
              <w:pStyle w:val="a"/>
              <w:numPr>
                <w:ilvl w:val="1"/>
                <w:numId w:val="2"/>
              </w:numPr>
              <w:tabs>
                <w:tab w:val="num" w:pos="1286"/>
              </w:tabs>
              <w:ind w:left="1286" w:right="0" w:hanging="540"/>
              <w:jc w:val="both"/>
              <w:rPr>
                <w:rFonts w:cs="Times New Roman"/>
              </w:rPr>
            </w:pPr>
            <w:r>
              <w:rPr>
                <w:rFonts w:ascii="David" w:hAnsi="David"/>
                <w:rtl/>
              </w:rPr>
              <w:t xml:space="preserve">ע"פ 4273/23 </w:t>
            </w:r>
            <w:r>
              <w:rPr>
                <w:rFonts w:ascii="David" w:hAnsi="David"/>
                <w:b/>
                <w:bCs/>
                <w:rtl/>
              </w:rPr>
              <w:t>פלוני נ' מדינת ישראל</w:t>
            </w:r>
            <w:r>
              <w:rPr>
                <w:rFonts w:ascii="David" w:hAnsi="David"/>
                <w:rtl/>
              </w:rPr>
              <w:t xml:space="preserve"> (11.9.2023) - </w:t>
            </w:r>
            <w:r>
              <w:rPr>
                <w:rtl/>
              </w:rPr>
              <w:t>הנאשם הורשע, לאחר ניהול הוכחות, בעבירות מין שביצע בשתי אחייניותיו,</w:t>
            </w:r>
            <w:r>
              <w:rPr>
                <w:rFonts w:cs="Times New Roman" w:hint="cs"/>
                <w:rtl/>
              </w:rPr>
              <w:t xml:space="preserve"> </w:t>
            </w:r>
            <w:r>
              <w:rPr>
                <w:rFonts w:ascii="David" w:hAnsi="David"/>
                <w:rtl/>
              </w:rPr>
              <w:t xml:space="preserve">בשתי עבירות של מעשה מגונה בקטינה בת משפחה ובמעשה סדום. בית המשפט המחוזי </w:t>
            </w:r>
            <w:r>
              <w:rPr>
                <w:rFonts w:ascii="David" w:hAnsi="David"/>
                <w:rtl/>
              </w:rPr>
              <w:lastRenderedPageBreak/>
              <w:t>השית</w:t>
            </w:r>
            <w:r>
              <w:rPr>
                <w:rtl/>
              </w:rPr>
              <w:t xml:space="preserve"> על הנאשם, נעדר עבר פלילי, </w:t>
            </w:r>
            <w:r>
              <w:rPr>
                <w:b/>
                <w:bCs/>
                <w:rtl/>
              </w:rPr>
              <w:t>7 שנות מאסר</w:t>
            </w:r>
            <w:r>
              <w:rPr>
                <w:rtl/>
              </w:rPr>
              <w:t xml:space="preserve">, מאסר על תנאי ופיצוי לנפגעות העבירה בסכומים של 50,000 ₪ ו-30,000 ₪. בית המשפט העליון מצא במסגרת הערעור להקל מעט בעונשו של הנאשם ולהעמידו על 75 חודשי מאסר, בעיקר בשל נסיבות משפחתיות חדשות וחזרתו של הנאשם מערעורו על הכרעת הדין.  </w:t>
            </w:r>
          </w:p>
          <w:p w:rsidR="00DF0408" w:rsidRPr="00DF0408" w:rsidRDefault="00DF0408" w:rsidP="00DF0408">
            <w:pPr>
              <w:pStyle w:val="a"/>
              <w:numPr>
                <w:ilvl w:val="1"/>
                <w:numId w:val="2"/>
              </w:numPr>
              <w:tabs>
                <w:tab w:val="num" w:pos="1286"/>
              </w:tabs>
              <w:ind w:left="1286" w:right="0" w:hanging="540"/>
              <w:jc w:val="both"/>
              <w:rPr>
                <w:rFonts w:ascii="David" w:hAnsi="David"/>
              </w:rPr>
            </w:pPr>
            <w:r>
              <w:rPr>
                <w:rFonts w:ascii="David" w:hAnsi="David"/>
                <w:rtl/>
              </w:rPr>
              <w:t xml:space="preserve">ע"פ 6980/22 </w:t>
            </w:r>
            <w:r>
              <w:rPr>
                <w:b/>
                <w:bCs/>
                <w:rtl/>
              </w:rPr>
              <w:t>פלוני נ' מדינת ישראל</w:t>
            </w:r>
            <w:r>
              <w:rPr>
                <w:rtl/>
              </w:rPr>
              <w:t> (7.9.2022) - הנאשם הורשע, על יסוד הודאתו, בעבירות של מעשה סדום ומעשה מגונה, בקטינה בת משפחה</w:t>
            </w:r>
            <w:r>
              <w:rPr>
                <w:rFonts w:ascii="David" w:hAnsi="David"/>
                <w:rtl/>
              </w:rPr>
              <w:t xml:space="preserve">, אחותה של אשתו, במספר מועדים, </w:t>
            </w:r>
            <w:r>
              <w:rPr>
                <w:rtl/>
              </w:rPr>
              <w:t>הנאשם הציג לקטינה סרטונים פורנוגרפיים, לפת בידו את חזה ולחץ אותו מעל לבגדיה, הרים את חולצתה וחזייתה, הביט ארוכות בחזה החשוף ונגע בו. במועד אחר, הנאשם חשף את איבר מינו, אחז בו בידו, נישק את הקטינה בראשה והחדיר את איבר מינו לפיה, כשהקטינה ניסתה להרים את ראשה כדי להפסיק את מעשיו, הנאשם הורידו שוב לעבר איבר מינו לפרק זמן קצר, עד שהגיע לפורקן בתוך פיה. בית המשפט המחוזי קבע מתחם עונש הולם שנע בין </w:t>
            </w:r>
            <w:r>
              <w:rPr>
                <w:b/>
                <w:bCs/>
                <w:rtl/>
              </w:rPr>
              <w:t>9 ל-13 שנות מאסר</w:t>
            </w:r>
            <w:r>
              <w:rPr>
                <w:rtl/>
              </w:rPr>
              <w:t xml:space="preserve"> והשית על הנאשם, נעדר עבר פלילי, 10 שנות מאסר בפועל, מאסרים על תנאי ופיצוי לנפגעת העבירה בסך של 120,000 ₪. ערעור שהגיש הנאשם לבית המשפט העליון התקבל </w:t>
            </w:r>
            <w:r w:rsidRPr="00DF0408">
              <w:rPr>
                <w:rFonts w:ascii="David" w:hAnsi="David"/>
                <w:rtl/>
              </w:rPr>
              <w:t>חלקית באופן שהוסכם על הפחתה של שנה מעונש המאסר, כך שעל הנאשם הוטלו </w:t>
            </w:r>
            <w:r w:rsidRPr="00DF0408">
              <w:rPr>
                <w:rFonts w:ascii="David" w:hAnsi="David"/>
                <w:b/>
                <w:bCs/>
                <w:rtl/>
              </w:rPr>
              <w:t>9 שנות מאסר</w:t>
            </w:r>
            <w:r w:rsidRPr="00DF0408">
              <w:rPr>
                <w:rFonts w:ascii="David" w:hAnsi="David"/>
                <w:rtl/>
              </w:rPr>
              <w:t>.</w:t>
            </w:r>
          </w:p>
          <w:p w:rsidR="00DF0408" w:rsidRPr="00DF0408" w:rsidRDefault="00DF0408" w:rsidP="00DF0408">
            <w:pPr>
              <w:pStyle w:val="a"/>
              <w:numPr>
                <w:ilvl w:val="1"/>
                <w:numId w:val="2"/>
              </w:numPr>
              <w:tabs>
                <w:tab w:val="num" w:pos="1274"/>
              </w:tabs>
              <w:ind w:left="1274" w:right="0" w:hanging="567"/>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ע"פ 2647/21 </w:t>
            </w:r>
            <w:r w:rsidRPr="00DF0408">
              <w:rPr>
                <w:rStyle w:val="default"/>
                <w:rFonts w:ascii="David" w:eastAsia="Calibri" w:hAnsi="David" w:cs="David"/>
                <w:b/>
                <w:bCs/>
                <w:sz w:val="24"/>
                <w:szCs w:val="24"/>
                <w:rtl/>
              </w:rPr>
              <w:t>פלוני נ' מדינת ישראל</w:t>
            </w:r>
            <w:r w:rsidRPr="00DF0408">
              <w:rPr>
                <w:rStyle w:val="default"/>
                <w:rFonts w:ascii="David" w:eastAsia="Calibri" w:hAnsi="David" w:cs="David"/>
                <w:sz w:val="24"/>
                <w:szCs w:val="24"/>
                <w:rtl/>
              </w:rPr>
              <w:t xml:space="preserve"> (21.8.2022), הנאשם הורשע לאחר ניהול הוכחות בריבוי עבירות מעשה מגונה בקטינה בת משפחה ואיומים. הנאשם, דודהּ של קטינה (בת 14-12) נגע ומצץ את איבר מינה, נישק אותה בפיה, ליקק את חזה, ליטף את גופה מתחת לבגדיה וכן הצמיד את איבר מינו לאיבר מינה. הוא אף איים עליה שלא תספר על כך. בית המשפט המחוזי קבע </w:t>
            </w:r>
            <w:r w:rsidRPr="00DF0408">
              <w:rPr>
                <w:rStyle w:val="default"/>
                <w:rFonts w:ascii="David" w:eastAsia="Calibri" w:hAnsi="David" w:cs="David"/>
                <w:b/>
                <w:bCs/>
                <w:sz w:val="24"/>
                <w:szCs w:val="24"/>
                <w:rtl/>
              </w:rPr>
              <w:t>מתחם עונש הנע בין 6 ועד ל-9 שנות מאסר</w:t>
            </w:r>
            <w:r w:rsidRPr="00DF0408">
              <w:rPr>
                <w:rStyle w:val="default"/>
                <w:rFonts w:ascii="David" w:eastAsia="Calibri" w:hAnsi="David" w:cs="David"/>
                <w:sz w:val="24"/>
                <w:szCs w:val="24"/>
                <w:rtl/>
              </w:rPr>
              <w:t>. הנאשם ללא עבר פלילי נדון לעונש של</w:t>
            </w:r>
            <w:r w:rsidRPr="00DF0408">
              <w:rPr>
                <w:rStyle w:val="default"/>
                <w:rFonts w:ascii="David" w:eastAsia="Calibri" w:hAnsi="David" w:cs="David"/>
                <w:b/>
                <w:bCs/>
                <w:sz w:val="24"/>
                <w:szCs w:val="24"/>
                <w:rtl/>
              </w:rPr>
              <w:t xml:space="preserve"> 7.5 שנות מאסר</w:t>
            </w:r>
            <w:r w:rsidRPr="00DF0408">
              <w:rPr>
                <w:rStyle w:val="default"/>
                <w:rFonts w:ascii="David" w:eastAsia="Calibri" w:hAnsi="David" w:cs="David"/>
                <w:sz w:val="24"/>
                <w:szCs w:val="24"/>
                <w:rtl/>
              </w:rPr>
              <w:t xml:space="preserve">. בית המשפט העליון דחה את הערעור, הפנה לחומרת העבירה ולפסיקה הנוהגת, ואישר את מתחם העונש ואת העונש שהוטל על הנאשם. נסיבות המקרה פחות חמורות מאלו שבפנינו ואינן כוללות מעשה אינוס. </w:t>
            </w:r>
          </w:p>
          <w:p w:rsidR="00DF0408" w:rsidRPr="00DF0408" w:rsidRDefault="00DF0408" w:rsidP="00DF0408">
            <w:pPr>
              <w:pStyle w:val="a"/>
              <w:numPr>
                <w:ilvl w:val="1"/>
                <w:numId w:val="2"/>
              </w:numPr>
              <w:tabs>
                <w:tab w:val="num" w:pos="1274"/>
              </w:tabs>
              <w:ind w:left="1274" w:right="0" w:hanging="567"/>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ע"פ 5832/20 </w:t>
            </w:r>
            <w:r w:rsidRPr="00DF0408">
              <w:rPr>
                <w:rStyle w:val="default"/>
                <w:rFonts w:ascii="David" w:eastAsia="Calibri" w:hAnsi="David" w:cs="David"/>
                <w:b/>
                <w:bCs/>
                <w:sz w:val="24"/>
                <w:szCs w:val="24"/>
                <w:rtl/>
              </w:rPr>
              <w:t>פלוני נ' מדינת ישראל</w:t>
            </w:r>
            <w:r w:rsidRPr="00DF0408">
              <w:rPr>
                <w:rStyle w:val="default"/>
                <w:rFonts w:ascii="David" w:eastAsia="Calibri" w:hAnsi="David" w:cs="David"/>
                <w:sz w:val="24"/>
                <w:szCs w:val="24"/>
                <w:rtl/>
              </w:rPr>
              <w:t xml:space="preserve"> (22.8.2021), הנאשם הורשע לאחר ניהול הוכחות בריבוי עבירות מין, לרבות עבירה אחת של אינוס קטינה בת משפחה, אחות אשתו, בעת שהייתה בת 15.5-14.5 בביתה. המעשים כללו נגיעות בחזה ובאיבר המין מתחת לבגדים, ומקרה אחד של החדרת אצבע לאיבר המין. בית המשפט המחוזי גזר על הנאשם עונש של </w:t>
            </w:r>
            <w:r w:rsidRPr="00DF0408">
              <w:rPr>
                <w:rStyle w:val="default"/>
                <w:rFonts w:ascii="David" w:eastAsia="Calibri" w:hAnsi="David" w:cs="David"/>
                <w:b/>
                <w:bCs/>
                <w:sz w:val="24"/>
                <w:szCs w:val="24"/>
                <w:rtl/>
              </w:rPr>
              <w:t>8 שנות מאסר</w:t>
            </w:r>
            <w:r w:rsidRPr="00DF0408">
              <w:rPr>
                <w:rStyle w:val="default"/>
                <w:rFonts w:ascii="David" w:eastAsia="Calibri" w:hAnsi="David" w:cs="David"/>
                <w:sz w:val="24"/>
                <w:szCs w:val="24"/>
                <w:rtl/>
              </w:rPr>
              <w:t>. ערעורו נדחה.</w:t>
            </w:r>
          </w:p>
          <w:p w:rsidR="00DF0408" w:rsidRPr="00DF0408" w:rsidRDefault="00DF0408" w:rsidP="00DF0408">
            <w:pPr>
              <w:pStyle w:val="a"/>
              <w:numPr>
                <w:ilvl w:val="1"/>
                <w:numId w:val="2"/>
              </w:numPr>
              <w:tabs>
                <w:tab w:val="num" w:pos="1274"/>
              </w:tabs>
              <w:ind w:left="1274" w:right="0" w:hanging="567"/>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ע"פ 2032/19 </w:t>
            </w:r>
            <w:r w:rsidRPr="00DF0408">
              <w:rPr>
                <w:rStyle w:val="default"/>
                <w:rFonts w:ascii="David" w:eastAsia="Calibri" w:hAnsi="David" w:cs="David"/>
                <w:b/>
                <w:bCs/>
                <w:sz w:val="24"/>
                <w:szCs w:val="24"/>
                <w:rtl/>
              </w:rPr>
              <w:t>פלוני נ' מדינת ישראל</w:t>
            </w:r>
            <w:r w:rsidRPr="00DF0408">
              <w:rPr>
                <w:rStyle w:val="default"/>
                <w:rFonts w:ascii="David" w:eastAsia="Calibri" w:hAnsi="David" w:cs="David"/>
                <w:sz w:val="24"/>
                <w:szCs w:val="24"/>
                <w:rtl/>
              </w:rPr>
              <w:t xml:space="preserve"> (14.6.2020) הנאשם הורשע, לאחר ניהול הוכחות, בביצוע שתי עבירות אינוס, מעשה סדום, מספר מעשים מגונים שכללו החדרת אצבע לאיבר המין, בקטינה בת 10 במהלך תקופה שבה קיים קשר זוגי עם אימה. עוד הורשע בעבירה של תקיפת אחותה. בית המשפט המחוזי קבע מתחם ענישה שנע בין 10-16 שנות מאסר, </w:t>
            </w:r>
            <w:r w:rsidRPr="00DF0408">
              <w:rPr>
                <w:rStyle w:val="default"/>
                <w:rFonts w:ascii="David" w:eastAsia="Calibri" w:hAnsi="David" w:cs="David"/>
                <w:b/>
                <w:bCs/>
                <w:sz w:val="24"/>
                <w:szCs w:val="24"/>
                <w:rtl/>
              </w:rPr>
              <w:t>על הנאשם הושת מאסר בן 14 שנים</w:t>
            </w:r>
            <w:r w:rsidRPr="00DF0408">
              <w:rPr>
                <w:rStyle w:val="default"/>
                <w:rFonts w:ascii="David" w:eastAsia="Calibri" w:hAnsi="David" w:cs="David"/>
                <w:sz w:val="24"/>
                <w:szCs w:val="24"/>
                <w:rtl/>
              </w:rPr>
              <w:t xml:space="preserve">, ערעורו נדחה. </w:t>
            </w:r>
          </w:p>
          <w:p w:rsidR="00DF0408" w:rsidRPr="00DF0408" w:rsidRDefault="00DF0408" w:rsidP="00DF0408">
            <w:pPr>
              <w:pStyle w:val="a"/>
              <w:numPr>
                <w:ilvl w:val="1"/>
                <w:numId w:val="2"/>
              </w:numPr>
              <w:tabs>
                <w:tab w:val="num" w:pos="1274"/>
              </w:tabs>
              <w:ind w:left="1274" w:right="0" w:hanging="567"/>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תפח"ע (מחוזי מר') 8363-11-22 </w:t>
            </w:r>
            <w:r w:rsidRPr="00DF0408">
              <w:rPr>
                <w:rStyle w:val="default"/>
                <w:rFonts w:ascii="David" w:eastAsia="Calibri" w:hAnsi="David" w:cs="David"/>
                <w:b/>
                <w:bCs/>
                <w:sz w:val="24"/>
                <w:szCs w:val="24"/>
                <w:rtl/>
              </w:rPr>
              <w:t>מדינת ישראל נ' פלוני</w:t>
            </w:r>
            <w:r w:rsidRPr="00DF0408">
              <w:rPr>
                <w:rStyle w:val="default"/>
                <w:rFonts w:ascii="David" w:eastAsia="Calibri" w:hAnsi="David" w:cs="David"/>
                <w:sz w:val="24"/>
                <w:szCs w:val="24"/>
                <w:rtl/>
              </w:rPr>
              <w:t xml:space="preserve"> (11.9.2024), אליו הפנתה ההגנה בטיעוניה. בתיק זה שנדון לפנינו, הורשע הנאשם בריבוי עבירות של מעשה סדום בקטינה בת משפחה מתחת לגיל 16 ומעשים מגונים בבתו בעת שהייתה בגילאים 11-12.5, הנאשם הודה לאחר שנשמעה עדות הקטינה, נקבע מתחם ענישה שנע בין 8-12 שנות מאסר, הנאשם, כבן 55, ללא עבר פלילי, הפקיד במסגרת הסדר פיצוי בסך 100,000 </w:t>
            </w:r>
            <w:r w:rsidRPr="00DF0408">
              <w:rPr>
                <w:rStyle w:val="default"/>
                <w:rFonts w:ascii="David" w:eastAsia="Calibri" w:hAnsi="David" w:cs="David"/>
                <w:sz w:val="24"/>
                <w:szCs w:val="24"/>
                <w:rtl/>
              </w:rPr>
              <w:lastRenderedPageBreak/>
              <w:t xml:space="preserve">₪ לטובת הקטינה, </w:t>
            </w:r>
            <w:r w:rsidRPr="00DF0408">
              <w:rPr>
                <w:rStyle w:val="default"/>
                <w:rFonts w:ascii="David" w:eastAsia="Calibri" w:hAnsi="David" w:cs="David"/>
                <w:b/>
                <w:bCs/>
                <w:sz w:val="24"/>
                <w:szCs w:val="24"/>
                <w:rtl/>
              </w:rPr>
              <w:t>נדון למאסר בן 9 שנים</w:t>
            </w:r>
            <w:r w:rsidRPr="00DF0408">
              <w:rPr>
                <w:rStyle w:val="default"/>
                <w:rFonts w:ascii="David" w:eastAsia="Calibri" w:hAnsi="David" w:cs="David"/>
                <w:sz w:val="24"/>
                <w:szCs w:val="24"/>
                <w:rtl/>
              </w:rPr>
              <w:t xml:space="preserve">. (ערעור הגנה עפ"ג 53818-10-24 תלוי ועומד בבית המשפט העליון). </w:t>
            </w:r>
          </w:p>
          <w:p w:rsidR="00DF0408" w:rsidRPr="00DF0408" w:rsidRDefault="00DF0408" w:rsidP="00DF0408">
            <w:pPr>
              <w:pStyle w:val="a"/>
              <w:numPr>
                <w:ilvl w:val="1"/>
                <w:numId w:val="2"/>
              </w:numPr>
              <w:tabs>
                <w:tab w:val="num" w:pos="1274"/>
              </w:tabs>
              <w:ind w:left="1274" w:right="0" w:hanging="567"/>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תפח"ע (מחוזי ת"א) 41995-02-23 </w:t>
            </w:r>
            <w:r w:rsidRPr="00DF0408">
              <w:rPr>
                <w:rStyle w:val="default"/>
                <w:rFonts w:ascii="David" w:eastAsia="Calibri" w:hAnsi="David" w:cs="David"/>
                <w:b/>
                <w:bCs/>
                <w:sz w:val="24"/>
                <w:szCs w:val="24"/>
                <w:rtl/>
              </w:rPr>
              <w:t>מדינת ישראל נ' פלוני</w:t>
            </w:r>
            <w:r w:rsidRPr="00DF0408">
              <w:rPr>
                <w:rStyle w:val="default"/>
                <w:rFonts w:ascii="David" w:eastAsia="Calibri" w:hAnsi="David" w:cs="David"/>
                <w:sz w:val="24"/>
                <w:szCs w:val="24"/>
                <w:rtl/>
              </w:rPr>
              <w:t xml:space="preserve"> (6.6.2024), במקרה זה  הנאשם הורשע, על יסוד הודאתו, בביצוע עבירות מין כלפי שתי אחיותיה הקטינות של אשתו בעת שהשניים הגיעו לבקר בבית הוריה. במסגרת האישום הראשון, שרלוונטי לענייננו אך חמור פחות, ביצע בקטינה שהייתה בגילאי 13-19 מעשים מגונים ומעשה סדום, בין היתר הכניס את הקטינה לחדר המקלחת, התפשט, הוריד את בגדיה, </w:t>
            </w:r>
            <w:r w:rsidRPr="00DF0408">
              <w:rPr>
                <w:rFonts w:ascii="David" w:hAnsi="David"/>
                <w:rtl/>
              </w:rPr>
              <w:t>נשכב עליה ושפשף את איבר מינו על ישבנה. בהמשך, נגע הנאשם עם אצבעו באיבר מינה של הקטינה. הנאשם חדל ממעשיו כאשר אחיה התעורר וקרא לאחותו</w:t>
            </w:r>
            <w:r w:rsidRPr="00DF0408">
              <w:rPr>
                <w:rStyle w:val="default"/>
                <w:rFonts w:ascii="David" w:eastAsia="Calibri" w:hAnsi="David" w:cs="David"/>
                <w:sz w:val="24"/>
                <w:szCs w:val="24"/>
                <w:rtl/>
              </w:rPr>
              <w:t xml:space="preserve">. נקבע מתחם ענישה בגין האישום הראשון שנע בין 7-11 שנות מאסר, בגין האישום השני, מתחם ענישה שנע בין 18-42 חודשי מאסר, על הנאשם, ששולב תקופה ממושכת בטיפול ייעודי וגילה מוטיבציה טיפולית, </w:t>
            </w:r>
            <w:r w:rsidRPr="00DF0408">
              <w:rPr>
                <w:rStyle w:val="default"/>
                <w:rFonts w:ascii="David" w:eastAsia="Calibri" w:hAnsi="David" w:cs="David"/>
                <w:b/>
                <w:bCs/>
                <w:sz w:val="24"/>
                <w:szCs w:val="24"/>
                <w:rtl/>
              </w:rPr>
              <w:t>נגזרו 8 שנות מאסר</w:t>
            </w:r>
            <w:r w:rsidRPr="00DF0408">
              <w:rPr>
                <w:rStyle w:val="default"/>
                <w:rFonts w:ascii="David" w:eastAsia="Calibri" w:hAnsi="David" w:cs="David"/>
                <w:sz w:val="24"/>
                <w:szCs w:val="24"/>
                <w:rtl/>
              </w:rPr>
              <w:t xml:space="preserve">, מאסר על תנאי ופיצוי בסך 80,000 ₪. (ערעור הגנה עפ"ג 55818-08-24 תלוי ועומד בבית המשפט העליון). </w:t>
            </w:r>
          </w:p>
          <w:p w:rsidR="00DF0408" w:rsidRPr="00DF0408" w:rsidRDefault="00DF0408" w:rsidP="00DF0408">
            <w:pPr>
              <w:pStyle w:val="a0"/>
              <w:numPr>
                <w:ilvl w:val="0"/>
                <w:numId w:val="0"/>
              </w:numPr>
              <w:tabs>
                <w:tab w:val="left" w:pos="720"/>
              </w:tabs>
              <w:spacing w:after="0"/>
              <w:ind w:left="1620"/>
            </w:pPr>
          </w:p>
          <w:p w:rsidR="00DF0408" w:rsidRPr="00DF0408" w:rsidRDefault="00DF0408" w:rsidP="00DF0408">
            <w:pPr>
              <w:pStyle w:val="a0"/>
              <w:spacing w:after="0"/>
              <w:jc w:val="both"/>
            </w:pPr>
            <w:r w:rsidRPr="00DF0408">
              <w:rPr>
                <w:b/>
                <w:bCs/>
                <w:rtl/>
              </w:rPr>
              <w:t>קביעת מתחם העונש ההולם</w:t>
            </w:r>
            <w:r w:rsidRPr="00DF0408">
              <w:rPr>
                <w:rtl/>
              </w:rPr>
              <w:t xml:space="preserve">- לאחר ששקלנו את כלל השיקולים, נסיבות המעשים ומדיניות הענישה הנוהגת, אנו קובעים כי </w:t>
            </w:r>
            <w:r w:rsidRPr="00DF0408">
              <w:rPr>
                <w:b/>
                <w:bCs/>
                <w:rtl/>
              </w:rPr>
              <w:t>מתחם העונש ההולם נע בין 8 ועד ל-12 שנות מאסר</w:t>
            </w:r>
            <w:r w:rsidRPr="00DF0408">
              <w:rPr>
                <w:rtl/>
              </w:rPr>
              <w:t xml:space="preserve">. </w:t>
            </w:r>
          </w:p>
          <w:p w:rsidR="00DF0408" w:rsidRPr="00DF0408" w:rsidRDefault="00DF0408" w:rsidP="00DF0408">
            <w:pPr>
              <w:pStyle w:val="a0"/>
              <w:numPr>
                <w:ilvl w:val="0"/>
                <w:numId w:val="0"/>
              </w:numPr>
              <w:tabs>
                <w:tab w:val="left" w:pos="720"/>
              </w:tabs>
              <w:spacing w:after="0"/>
              <w:ind w:left="720"/>
              <w:rPr>
                <w:rtl/>
              </w:rPr>
            </w:pPr>
          </w:p>
          <w:p w:rsidR="00DF0408" w:rsidRPr="00DF0408" w:rsidRDefault="00DF0408" w:rsidP="00DF0408">
            <w:pPr>
              <w:pStyle w:val="af0"/>
              <w:jc w:val="both"/>
              <w:rPr>
                <w:rFonts w:ascii="David" w:hAnsi="David"/>
              </w:rPr>
            </w:pPr>
            <w:r w:rsidRPr="00DF0408">
              <w:rPr>
                <w:rFonts w:ascii="David" w:hAnsi="David"/>
                <w:rtl/>
              </w:rPr>
              <w:t>גזירת העונש המתאים לנאשם</w:t>
            </w:r>
          </w:p>
          <w:p w:rsidR="00DF0408" w:rsidRPr="00DF0408" w:rsidRDefault="00DF0408" w:rsidP="00DF0408">
            <w:pPr>
              <w:pStyle w:val="a0"/>
              <w:spacing w:after="0"/>
              <w:jc w:val="both"/>
            </w:pPr>
            <w:r w:rsidRPr="00DF0408">
              <w:rPr>
                <w:rtl/>
              </w:rPr>
              <w:t xml:space="preserve">הנאשם כבן 43, אב לשניים, נעדר עבר פלילי, טרם מעצרו בתיק ניהל אורח חיים תקין.  הנאשם הכחיש תחילה את המיוחס לו וכפועל יוצא מכך נשמעה עדותה של אחות המתלוננת, גרושתו של הנאשם. האחות שסבלה ממחלה קשה היא שדיווחה על מעשי הנאשם לרווחה, עדותה הייתה קשה לה, זמן לא ארוך לאחר מכן, נפטרה. לטענת ההגנה, עדותה של האחות תרמה לצמצום המחלוקות הראייתיות בין הצדדים, לקידום ההסכמות והודאת הנאשם בכתב האישום המתוקן.  </w:t>
            </w:r>
          </w:p>
          <w:p w:rsidR="00DF0408" w:rsidRPr="00DF0408" w:rsidRDefault="00DF0408" w:rsidP="00DF0408">
            <w:pPr>
              <w:pStyle w:val="a0"/>
              <w:numPr>
                <w:ilvl w:val="0"/>
                <w:numId w:val="0"/>
              </w:numPr>
              <w:tabs>
                <w:tab w:val="left" w:pos="720"/>
              </w:tabs>
              <w:spacing w:after="0"/>
              <w:ind w:left="720"/>
              <w:jc w:val="both"/>
            </w:pPr>
          </w:p>
          <w:p w:rsidR="00DF0408" w:rsidRPr="00DF0408" w:rsidRDefault="00DF0408" w:rsidP="00DF0408">
            <w:pPr>
              <w:pStyle w:val="a0"/>
              <w:spacing w:after="0"/>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הנאשם נטל אחריות על מעשיו והביע חרטה, בדבריו לעונש טען כי מבין את חומרת מעשיו והפגיעה הקשה במתלוננת ובתקופת מעצרו הממושכת עושה חשבון נפש עם עצמו. הודאת הנאשם במסגרת ההסדר ייתרה את עדות המתלוננת ולכך יינתן משקל בגזירת הדין. עוד עשה הנאשם מאמץ רב להפקיד את סכום הפיצוי המוסכם בסך 40,000 ₪. נתנו דעתנו גם לפגיעה הצפויה בילדי הנאשם, כיום בני 13-14 ומצויים בקשר יומיומי עם הנאשם, בשלב זה אינם מודעים לטיב מעשיו וברי כי חווים קשיים בשל פטירת אמם ומאסרו הצפוי של הנאשם. </w:t>
            </w:r>
          </w:p>
          <w:p w:rsidR="00DF0408" w:rsidRPr="00DF0408" w:rsidRDefault="00DF0408" w:rsidP="00DF0408">
            <w:pPr>
              <w:pStyle w:val="a0"/>
              <w:numPr>
                <w:ilvl w:val="0"/>
                <w:numId w:val="0"/>
              </w:numPr>
              <w:tabs>
                <w:tab w:val="left" w:pos="720"/>
              </w:tabs>
              <w:spacing w:after="0"/>
              <w:ind w:left="720"/>
              <w:jc w:val="both"/>
              <w:rPr>
                <w:rStyle w:val="default"/>
                <w:rFonts w:ascii="David" w:eastAsia="Calibri" w:hAnsi="David" w:cs="David"/>
                <w:sz w:val="24"/>
                <w:szCs w:val="24"/>
                <w:rtl/>
              </w:rPr>
            </w:pPr>
          </w:p>
          <w:p w:rsidR="00DF0408" w:rsidRPr="00DF0408" w:rsidRDefault="00DF0408" w:rsidP="00DF0408">
            <w:pPr>
              <w:pStyle w:val="a0"/>
              <w:spacing w:after="0"/>
              <w:jc w:val="both"/>
              <w:rPr>
                <w:rStyle w:val="default"/>
                <w:rFonts w:ascii="David" w:eastAsia="Calibri" w:hAnsi="David" w:cs="David"/>
                <w:sz w:val="24"/>
                <w:szCs w:val="24"/>
              </w:rPr>
            </w:pPr>
            <w:r w:rsidRPr="00DF0408">
              <w:rPr>
                <w:rtl/>
              </w:rPr>
              <w:t xml:space="preserve">עוד יש להביא בחשבון את שיקול </w:t>
            </w:r>
            <w:r w:rsidRPr="00DF0408">
              <w:rPr>
                <w:b/>
                <w:bCs/>
                <w:rtl/>
              </w:rPr>
              <w:t>הרתעת היחיד</w:t>
            </w:r>
            <w:r w:rsidRPr="00DF0408">
              <w:rPr>
                <w:rtl/>
              </w:rPr>
              <w:t xml:space="preserve"> בגדרו של המתחם, וזאת בשים לב לחומרת מעשיו של הנאשם ומשכם, ולכך שהנאשם לא שולב בטיפול ייעודי בתחום עבריינות המין, כך שלא ניתן להצביע על כל הפחתה בסיכון במצבו. הנאשם מביע כיום נכונות טיפולית ומבקש להשתלב בטיפול ייעודי במסגרת שב"ס. כמו כן יש לתת את הדעת לשיקול </w:t>
            </w:r>
            <w:r w:rsidRPr="00DF0408">
              <w:rPr>
                <w:b/>
                <w:bCs/>
                <w:rtl/>
              </w:rPr>
              <w:t>הרתעת הרבים</w:t>
            </w:r>
            <w:r w:rsidRPr="00DF0408">
              <w:rPr>
                <w:rtl/>
              </w:rPr>
              <w:t xml:space="preserve"> בגדרו של המתחם, וזאת בשים לב לפסיקת בית המשפט העליון באשר לצורך בהטלת עונשים חמורים בעבירות מסוג זה כדרך להרתיע עברייני מין פוטנציאלים.</w:t>
            </w:r>
          </w:p>
          <w:p w:rsidR="00DF0408" w:rsidRPr="00DF0408" w:rsidRDefault="00DF0408" w:rsidP="00DF0408">
            <w:pPr>
              <w:pStyle w:val="a0"/>
              <w:numPr>
                <w:ilvl w:val="0"/>
                <w:numId w:val="0"/>
              </w:numPr>
              <w:tabs>
                <w:tab w:val="left" w:pos="720"/>
              </w:tabs>
              <w:spacing w:after="0"/>
              <w:ind w:left="720"/>
              <w:jc w:val="both"/>
              <w:rPr>
                <w:rStyle w:val="default"/>
                <w:rFonts w:ascii="David" w:eastAsia="Calibri" w:hAnsi="David" w:cs="David"/>
                <w:sz w:val="24"/>
                <w:szCs w:val="24"/>
              </w:rPr>
            </w:pPr>
            <w:r w:rsidRPr="00DF0408">
              <w:rPr>
                <w:rStyle w:val="default"/>
                <w:rFonts w:ascii="David" w:eastAsia="Calibri" w:hAnsi="David" w:cs="David"/>
                <w:sz w:val="24"/>
                <w:szCs w:val="24"/>
                <w:rtl/>
              </w:rPr>
              <w:lastRenderedPageBreak/>
              <w:t xml:space="preserve">בכל הנוגע לרכיב הפיצוי, הופקד פיצוי מוסכם בסך 40,000 ₪, סכום הפיצוי אינו גבוה, אך יש לקוות שיהיה בו כדי לסייע למתלוננת ולהמשך שיקומה. הנזק שנגרם למתלוננת רב, הנאשם נותר נוכח בחייה מאחר שילדיו גדלים בביתה, והיא מצויה רק בשלבים ראשוניים של טיפול. </w:t>
            </w:r>
          </w:p>
          <w:p w:rsidR="00DF0408" w:rsidRPr="00DF0408" w:rsidRDefault="00DF0408" w:rsidP="00DF0408">
            <w:pPr>
              <w:pStyle w:val="a0"/>
              <w:numPr>
                <w:ilvl w:val="0"/>
                <w:numId w:val="0"/>
              </w:numPr>
              <w:tabs>
                <w:tab w:val="left" w:pos="720"/>
              </w:tabs>
              <w:spacing w:after="0"/>
              <w:ind w:left="720"/>
              <w:jc w:val="both"/>
              <w:rPr>
                <w:rStyle w:val="default"/>
                <w:rFonts w:ascii="David" w:eastAsia="Calibri" w:hAnsi="David" w:cs="David"/>
                <w:sz w:val="24"/>
                <w:szCs w:val="24"/>
                <w:rtl/>
              </w:rPr>
            </w:pPr>
          </w:p>
          <w:p w:rsidR="00DF0408" w:rsidRPr="00DF0408" w:rsidRDefault="00DF0408" w:rsidP="00DF0408">
            <w:pPr>
              <w:pStyle w:val="a0"/>
              <w:spacing w:after="0"/>
              <w:ind w:right="-284"/>
              <w:jc w:val="both"/>
              <w:rPr>
                <w:rtl/>
              </w:rPr>
            </w:pPr>
            <w:r w:rsidRPr="00DF0408">
              <w:rPr>
                <w:rStyle w:val="default"/>
                <w:rFonts w:ascii="David" w:eastAsia="Calibri" w:hAnsi="David" w:cs="David"/>
                <w:sz w:val="24"/>
                <w:szCs w:val="24"/>
                <w:rtl/>
              </w:rPr>
              <w:t>באיזון בין השיקולים השונים, מצאנו ליתן משקל נכבד להודאת הנאשם שהיה בה כדי לייתר את עדות המתלוננת, להכרתו בחומרת מעשיו ובפגיעה הקשה במתלוננת, שבאו לידי ביטוי גם בנכונותו לפצותה, ולנסיבות המשפחתיות המורכבות, ולפיכך לגזור עליו  עונש מאסר בתחתית מתחם הענישה, לצד ענישה נלווית.</w:t>
            </w:r>
          </w:p>
          <w:p w:rsidR="00DF0408" w:rsidRPr="00DF0408" w:rsidRDefault="00DF0408" w:rsidP="00DF0408">
            <w:pPr>
              <w:pStyle w:val="a0"/>
              <w:numPr>
                <w:ilvl w:val="0"/>
                <w:numId w:val="0"/>
              </w:numPr>
              <w:tabs>
                <w:tab w:val="left" w:pos="720"/>
              </w:tabs>
              <w:spacing w:after="0"/>
              <w:ind w:left="720" w:right="-284"/>
              <w:rPr>
                <w:rtl/>
              </w:rPr>
            </w:pPr>
          </w:p>
          <w:p w:rsidR="00DF0408" w:rsidRPr="00DF0408" w:rsidRDefault="00DF0408" w:rsidP="00DF0408">
            <w:pPr>
              <w:pStyle w:val="a0"/>
              <w:numPr>
                <w:ilvl w:val="0"/>
                <w:numId w:val="0"/>
              </w:numPr>
              <w:tabs>
                <w:tab w:val="left" w:pos="720"/>
              </w:tabs>
              <w:spacing w:after="0"/>
              <w:ind w:left="720" w:right="-284"/>
              <w:rPr>
                <w:rtl/>
              </w:rPr>
            </w:pPr>
          </w:p>
          <w:p w:rsidR="00DF0408" w:rsidRPr="00DF0408" w:rsidRDefault="00584F98" w:rsidP="00DF0408">
            <w:pPr>
              <w:pStyle w:val="a0"/>
              <w:numPr>
                <w:ilvl w:val="0"/>
                <w:numId w:val="0"/>
              </w:numPr>
              <w:tabs>
                <w:tab w:val="left" w:pos="720"/>
              </w:tabs>
              <w:spacing w:after="0"/>
              <w:ind w:left="720" w:right="-284"/>
              <w:rPr>
                <w:b/>
                <w:bCs/>
                <w:u w:val="single"/>
              </w:rPr>
            </w:pPr>
            <w:r>
              <w:rPr>
                <w:b/>
                <w:bCs/>
                <w:u w:val="single"/>
                <w:rtl/>
              </w:rPr>
              <w:t>סוף דבר</w:t>
            </w:r>
          </w:p>
          <w:p w:rsidR="00DF0408" w:rsidRPr="00DF0408" w:rsidRDefault="00DF0408" w:rsidP="00DF0408">
            <w:pPr>
              <w:pStyle w:val="a0"/>
              <w:jc w:val="both"/>
              <w:rPr>
                <w:rtl/>
              </w:rPr>
            </w:pPr>
            <w:r w:rsidRPr="00DF0408">
              <w:rPr>
                <w:b/>
                <w:bCs/>
                <w:u w:val="single"/>
                <w:rtl/>
              </w:rPr>
              <w:t>לפיכך, אנו גוזרים על הנאשם את העונשים המפורטים להלן</w:t>
            </w:r>
            <w:r w:rsidRPr="00DF0408">
              <w:rPr>
                <w:rtl/>
              </w:rPr>
              <w:t>:</w:t>
            </w:r>
          </w:p>
          <w:p w:rsidR="00DF0408" w:rsidRPr="00DF0408" w:rsidRDefault="00DF0408" w:rsidP="00DF0408">
            <w:pPr>
              <w:pStyle w:val="a"/>
              <w:numPr>
                <w:ilvl w:val="1"/>
                <w:numId w:val="2"/>
              </w:numPr>
              <w:tabs>
                <w:tab w:val="num" w:pos="1286"/>
              </w:tabs>
              <w:ind w:left="1286" w:right="0" w:hanging="540"/>
              <w:jc w:val="both"/>
              <w:rPr>
                <w:rStyle w:val="default"/>
                <w:rFonts w:ascii="David" w:eastAsia="Calibri" w:hAnsi="David" w:cs="David"/>
                <w:sz w:val="24"/>
                <w:szCs w:val="24"/>
                <w:rtl/>
              </w:rPr>
            </w:pPr>
            <w:r w:rsidRPr="00DF0408">
              <w:rPr>
                <w:rStyle w:val="default"/>
                <w:rFonts w:ascii="David" w:eastAsia="Calibri" w:hAnsi="David" w:cs="David"/>
                <w:b/>
                <w:bCs/>
                <w:sz w:val="24"/>
                <w:szCs w:val="24"/>
                <w:rtl/>
              </w:rPr>
              <w:t>8 שנות מאסר בפועל</w:t>
            </w:r>
            <w:r w:rsidRPr="00DF0408">
              <w:rPr>
                <w:rStyle w:val="default"/>
                <w:rFonts w:ascii="David" w:eastAsia="Calibri" w:hAnsi="David" w:cs="David"/>
                <w:sz w:val="24"/>
                <w:szCs w:val="24"/>
                <w:rtl/>
              </w:rPr>
              <w:t xml:space="preserve">, החל מיום מעצרו 26.10.22.  </w:t>
            </w:r>
          </w:p>
          <w:p w:rsidR="00DF0408" w:rsidRPr="00DF0408" w:rsidRDefault="00DF0408" w:rsidP="00DF0408">
            <w:pPr>
              <w:pStyle w:val="a"/>
              <w:numPr>
                <w:ilvl w:val="1"/>
                <w:numId w:val="2"/>
              </w:numPr>
              <w:tabs>
                <w:tab w:val="num" w:pos="1286"/>
              </w:tabs>
              <w:ind w:left="1286" w:right="0" w:hanging="540"/>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18 חודשי מאסר על תנאי, לבל יעבור הנאשם במשך 3 שנים מיום שחרורו ממאסר כל עבירת מין מסוג פשע. </w:t>
            </w:r>
          </w:p>
          <w:p w:rsidR="00DF0408" w:rsidRPr="00DF0408" w:rsidRDefault="00DF0408" w:rsidP="00DF0408">
            <w:pPr>
              <w:pStyle w:val="a"/>
              <w:numPr>
                <w:ilvl w:val="1"/>
                <w:numId w:val="2"/>
              </w:numPr>
              <w:tabs>
                <w:tab w:val="num" w:pos="1286"/>
              </w:tabs>
              <w:ind w:left="1286" w:right="0" w:hanging="540"/>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9 חודשי מאסר על תנאי, לבל יעבור הנאשם במשך 3 שנים מיום שחרורו ממאסר כל עבירת מין מסוג עוון. </w:t>
            </w:r>
          </w:p>
          <w:p w:rsidR="00DF0408" w:rsidRPr="00DF0408" w:rsidRDefault="00DF0408" w:rsidP="00DF0408">
            <w:pPr>
              <w:pStyle w:val="a"/>
              <w:numPr>
                <w:ilvl w:val="1"/>
                <w:numId w:val="2"/>
              </w:numPr>
              <w:tabs>
                <w:tab w:val="num" w:pos="1286"/>
              </w:tabs>
              <w:ind w:left="1286" w:right="0" w:hanging="540"/>
              <w:jc w:val="both"/>
              <w:rPr>
                <w:rStyle w:val="default"/>
                <w:rFonts w:ascii="David" w:eastAsia="Calibri" w:hAnsi="David" w:cs="David"/>
                <w:sz w:val="24"/>
                <w:szCs w:val="24"/>
              </w:rPr>
            </w:pPr>
            <w:r w:rsidRPr="00DF0408">
              <w:rPr>
                <w:rStyle w:val="default"/>
                <w:rFonts w:ascii="David" w:eastAsia="Calibri" w:hAnsi="David" w:cs="David"/>
                <w:sz w:val="24"/>
                <w:szCs w:val="24"/>
                <w:rtl/>
              </w:rPr>
              <w:t xml:space="preserve">פיצוי בסך 40,000 ₪ למתלוננת. </w:t>
            </w:r>
            <w:r w:rsidRPr="00DF0408">
              <w:rPr>
                <w:rFonts w:ascii="David" w:hAnsi="David"/>
                <w:rtl/>
                <w:lang w:eastAsia="he-IL"/>
              </w:rPr>
              <w:t>כספי הפיצוי שהופקדו יועברו להוריה של נפגעת העבירה הקטינה, בהתאם לפרטים שאותם תעביר המאשימה, אשר יחזיקו בכסף בנאמנות עבור הקטינה עד שימלאו לה 18 שנים. הקטינה תוכל לעשות שימוש בכספי הפיצוי בהגיעה לגיל 18, אך ההורים רשאים לעשות שימוש בכספי הפיצוי קודם לכן, לשם מתן טיפול נפשי לקטינה.</w:t>
            </w:r>
          </w:p>
          <w:p w:rsidR="00DF0408" w:rsidRPr="00DF0408" w:rsidRDefault="00DF0408" w:rsidP="00DF0408">
            <w:pPr>
              <w:pStyle w:val="a"/>
              <w:numPr>
                <w:ilvl w:val="0"/>
                <w:numId w:val="0"/>
              </w:numPr>
              <w:tabs>
                <w:tab w:val="left" w:pos="720"/>
              </w:tabs>
              <w:ind w:right="0" w:firstLine="360"/>
              <w:jc w:val="both"/>
              <w:rPr>
                <w:rFonts w:ascii="David" w:hAnsi="David"/>
                <w:lang w:eastAsia="he-IL"/>
              </w:rPr>
            </w:pPr>
            <w:r w:rsidRPr="00DF0408">
              <w:rPr>
                <w:rFonts w:ascii="David" w:hAnsi="David"/>
                <w:rtl/>
                <w:lang w:eastAsia="he-IL"/>
              </w:rPr>
              <w:tab/>
              <w:t xml:space="preserve">זכות ערעור לבית-המשפט העליון בתוך 45 ימים. </w:t>
            </w:r>
          </w:p>
          <w:p w:rsidR="00DF0408" w:rsidRPr="00DF0408" w:rsidRDefault="00DF0408" w:rsidP="00DF0408">
            <w:pPr>
              <w:jc w:val="both"/>
              <w:rPr>
                <w:rtl/>
              </w:rPr>
            </w:pPr>
          </w:p>
          <w:p w:rsidR="00DF0408" w:rsidRPr="00DF0408" w:rsidRDefault="00DF0408" w:rsidP="00DF0408">
            <w:pPr>
              <w:rPr>
                <w:rFonts w:ascii="Arial" w:hAnsi="Arial"/>
                <w:b/>
                <w:bCs/>
              </w:rPr>
            </w:pPr>
          </w:p>
          <w:p w:rsidR="00DF0408" w:rsidRDefault="00DF0408" w:rsidP="00DF0408">
            <w:pPr>
              <w:rPr>
                <w:rFonts w:ascii="Arial" w:hAnsi="Arial"/>
                <w:b/>
                <w:bCs/>
                <w:sz w:val="26"/>
                <w:szCs w:val="26"/>
                <w:rtl/>
              </w:rPr>
            </w:pPr>
          </w:p>
          <w:p w:rsidR="00DF0408" w:rsidRDefault="00DF0408" w:rsidP="00DF0408">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א' כסלו תשפ"ה</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02 דצמבר 2024</w:t>
                </w:r>
              </w:sdtContent>
            </w:sdt>
            <w:r>
              <w:rPr>
                <w:rFonts w:ascii="Arial" w:hAnsi="Arial"/>
                <w:b/>
                <w:bCs/>
                <w:sz w:val="26"/>
                <w:szCs w:val="26"/>
                <w:rtl/>
              </w:rPr>
              <w:t>, בנוכחות הצדדים.</w:t>
            </w:r>
          </w:p>
          <w:p w:rsidR="00DF0408" w:rsidRDefault="00DF0408" w:rsidP="00DF0408">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p>
          <w:p w:rsidR="00DF0408" w:rsidRDefault="00DF0408" w:rsidP="00DF0408">
            <w:pPr>
              <w:spacing w:line="360" w:lineRule="auto"/>
              <w:rPr>
                <w:rFonts w:cstheme="minorBidi"/>
                <w:sz w:val="22"/>
                <w:szCs w:val="22"/>
                <w:rtl/>
              </w:rPr>
            </w:pPr>
          </w:p>
          <w:tbl>
            <w:tblPr>
              <w:tblStyle w:val="ab"/>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DF0408" w:rsidTr="00DF0408">
              <w:tc>
                <w:tcPr>
                  <w:tcW w:w="3383" w:type="dxa"/>
                  <w:hideMark/>
                </w:tcPr>
                <w:p w:rsidR="00DF0408" w:rsidRDefault="005416B1" w:rsidP="00DF0408">
                  <w:pPr>
                    <w:jc w:val="center"/>
                    <w:rPr>
                      <w:sz w:val="20"/>
                      <w:szCs w:val="20"/>
                    </w:rPr>
                  </w:pPr>
                  <w:sdt>
                    <w:sdtPr>
                      <w:rPr>
                        <w:rFonts w:cs="Times New Roman"/>
                        <w:sz w:val="20"/>
                        <w:szCs w:val="20"/>
                        <w:rtl/>
                      </w:rPr>
                      <w:alias w:val="MergeField"/>
                      <w:tag w:val="2250"/>
                      <w:id w:val="-130406988"/>
                    </w:sdtPr>
                    <w:sdtEndPr/>
                    <w:sdtContent>
                      <w:r w:rsidR="00DF0408">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sdtContent>
                  </w:sdt>
                </w:p>
              </w:tc>
              <w:tc>
                <w:tcPr>
                  <w:tcW w:w="3536" w:type="dxa"/>
                </w:tcPr>
                <w:p w:rsidR="00DF0408" w:rsidRDefault="00DF0408" w:rsidP="00DF0408">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DF0408" w:rsidRDefault="00DF0408" w:rsidP="00DF0408">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DF0408" w:rsidRDefault="00DF0408" w:rsidP="00DF0408">
                      <w:pPr>
                        <w:jc w:val="center"/>
                        <w:rPr>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DF0408" w:rsidTr="00DF0408">
              <w:tc>
                <w:tcPr>
                  <w:tcW w:w="3383" w:type="dxa"/>
                  <w:hideMark/>
                </w:tcPr>
                <w:p w:rsidR="00DF0408" w:rsidRDefault="005416B1" w:rsidP="00DF0408">
                  <w:pPr>
                    <w:spacing w:line="360" w:lineRule="auto"/>
                    <w:jc w:val="center"/>
                    <w:rPr>
                      <w:rFonts w:ascii="David" w:hAnsi="David"/>
                    </w:rPr>
                  </w:pPr>
                  <w:sdt>
                    <w:sdtPr>
                      <w:rPr>
                        <w:rtl/>
                      </w:rPr>
                      <w:alias w:val="2235"/>
                      <w:tag w:val="2235"/>
                      <w:id w:val="1100069598"/>
                    </w:sdtPr>
                    <w:sdtEndPr/>
                    <w:sdtContent>
                      <w:r w:rsidR="00DF0408">
                        <w:rPr>
                          <w:rFonts w:ascii="David" w:hAnsi="David"/>
                          <w:rtl/>
                        </w:rPr>
                        <w:t>עמי</w:t>
                      </w:r>
                    </w:sdtContent>
                  </w:sdt>
                  <w:r w:rsidR="00DF0408">
                    <w:rPr>
                      <w:rFonts w:ascii="David" w:hAnsi="David"/>
                      <w:rtl/>
                    </w:rPr>
                    <w:t xml:space="preserve">  </w:t>
                  </w:r>
                  <w:sdt>
                    <w:sdtPr>
                      <w:rPr>
                        <w:rFonts w:cs="Times New Roman" w:hint="cs"/>
                        <w:rtl/>
                      </w:rPr>
                      <w:alias w:val="2240"/>
                      <w:tag w:val="2240"/>
                      <w:id w:val="825638415"/>
                    </w:sdtPr>
                    <w:sdtEndPr/>
                    <w:sdtContent>
                      <w:r w:rsidR="00DF0408">
                        <w:rPr>
                          <w:rFonts w:ascii="David" w:hAnsi="David"/>
                          <w:rtl/>
                        </w:rPr>
                        <w:t>קובו</w:t>
                      </w:r>
                    </w:sdtContent>
                  </w:sdt>
                  <w:r w:rsidR="00DF0408">
                    <w:rPr>
                      <w:rFonts w:ascii="David" w:hAnsi="David"/>
                      <w:rtl/>
                    </w:rPr>
                    <w:t xml:space="preserve">, </w:t>
                  </w:r>
                  <w:sdt>
                    <w:sdtPr>
                      <w:rPr>
                        <w:rFonts w:cs="Times New Roman" w:hint="cs"/>
                        <w:rtl/>
                      </w:rPr>
                      <w:alias w:val="2245"/>
                      <w:tag w:val="2245"/>
                      <w:id w:val="533847746"/>
                    </w:sdtPr>
                    <w:sdtEndPr/>
                    <w:sdtContent>
                      <w:r w:rsidR="00DF0408">
                        <w:rPr>
                          <w:rFonts w:ascii="David" w:hAnsi="David"/>
                          <w:rtl/>
                        </w:rPr>
                        <w:t xml:space="preserve">שופט,                             סגן הנשיאה, </w:t>
                      </w:r>
                    </w:sdtContent>
                  </w:sdt>
                </w:p>
              </w:tc>
              <w:tc>
                <w:tcPr>
                  <w:tcW w:w="3536" w:type="dxa"/>
                  <w:hideMark/>
                </w:tcPr>
                <w:p w:rsidR="00DF0408" w:rsidRDefault="005416B1" w:rsidP="00DF0408">
                  <w:pPr>
                    <w:spacing w:line="360" w:lineRule="auto"/>
                    <w:jc w:val="center"/>
                    <w:rPr>
                      <w:rFonts w:ascii="David" w:hAnsi="David"/>
                    </w:rPr>
                  </w:pPr>
                  <w:sdt>
                    <w:sdtPr>
                      <w:rPr>
                        <w:rtl/>
                      </w:rPr>
                      <w:alias w:val="2236"/>
                      <w:tag w:val="2236"/>
                      <w:id w:val="639300144"/>
                    </w:sdtPr>
                    <w:sdtEndPr/>
                    <w:sdtContent>
                      <w:r w:rsidR="00DF0408">
                        <w:rPr>
                          <w:rFonts w:ascii="David" w:hAnsi="David"/>
                          <w:rtl/>
                        </w:rPr>
                        <w:t>מיכאל</w:t>
                      </w:r>
                    </w:sdtContent>
                  </w:sdt>
                  <w:r w:rsidR="00DF0408">
                    <w:rPr>
                      <w:rFonts w:ascii="David" w:hAnsi="David"/>
                      <w:rtl/>
                    </w:rPr>
                    <w:t xml:space="preserve"> </w:t>
                  </w:r>
                  <w:sdt>
                    <w:sdtPr>
                      <w:rPr>
                        <w:rFonts w:cs="Times New Roman" w:hint="cs"/>
                        <w:rtl/>
                      </w:rPr>
                      <w:alias w:val="2241"/>
                      <w:tag w:val="2241"/>
                      <w:id w:val="-2097088705"/>
                    </w:sdtPr>
                    <w:sdtEndPr/>
                    <w:sdtContent>
                      <w:r w:rsidR="00DF0408">
                        <w:rPr>
                          <w:rFonts w:ascii="David" w:hAnsi="David"/>
                          <w:rtl/>
                        </w:rPr>
                        <w:t>קרשן</w:t>
                      </w:r>
                    </w:sdtContent>
                  </w:sdt>
                  <w:r w:rsidR="00DF0408">
                    <w:rPr>
                      <w:rFonts w:ascii="David" w:hAnsi="David"/>
                      <w:rtl/>
                    </w:rPr>
                    <w:t xml:space="preserve">, </w:t>
                  </w:r>
                  <w:sdt>
                    <w:sdtPr>
                      <w:rPr>
                        <w:rFonts w:cs="Times New Roman" w:hint="cs"/>
                        <w:rtl/>
                      </w:rPr>
                      <w:alias w:val="2246"/>
                      <w:tag w:val="2246"/>
                      <w:id w:val="-1989393221"/>
                    </w:sdtPr>
                    <w:sdtEndPr/>
                    <w:sdtContent>
                      <w:r w:rsidR="00DF0408">
                        <w:rPr>
                          <w:rFonts w:ascii="David" w:hAnsi="David"/>
                          <w:rtl/>
                        </w:rPr>
                        <w:t>שופט</w:t>
                      </w:r>
                    </w:sdtContent>
                  </w:sdt>
                </w:p>
              </w:tc>
              <w:tc>
                <w:tcPr>
                  <w:tcW w:w="3341" w:type="dxa"/>
                  <w:hideMark/>
                </w:tcPr>
                <w:p w:rsidR="00DF0408" w:rsidRDefault="005416B1" w:rsidP="00DF0408">
                  <w:pPr>
                    <w:spacing w:line="360" w:lineRule="auto"/>
                    <w:jc w:val="center"/>
                    <w:rPr>
                      <w:rFonts w:ascii="David" w:hAnsi="David"/>
                      <w:rtl/>
                    </w:rPr>
                  </w:pPr>
                  <w:sdt>
                    <w:sdtPr>
                      <w:rPr>
                        <w:rtl/>
                      </w:rPr>
                      <w:alias w:val="2237"/>
                      <w:tag w:val="2237"/>
                      <w:id w:val="-31890643"/>
                    </w:sdtPr>
                    <w:sdtEndPr/>
                    <w:sdtContent>
                      <w:r w:rsidR="00DF0408">
                        <w:rPr>
                          <w:rFonts w:ascii="David" w:hAnsi="David"/>
                          <w:rtl/>
                        </w:rPr>
                        <w:t>מרב</w:t>
                      </w:r>
                    </w:sdtContent>
                  </w:sdt>
                  <w:r w:rsidR="00DF0408">
                    <w:rPr>
                      <w:rFonts w:ascii="David" w:hAnsi="David"/>
                      <w:rtl/>
                    </w:rPr>
                    <w:t xml:space="preserve"> </w:t>
                  </w:r>
                  <w:sdt>
                    <w:sdtPr>
                      <w:rPr>
                        <w:rFonts w:cs="Times New Roman" w:hint="cs"/>
                        <w:rtl/>
                      </w:rPr>
                      <w:alias w:val="2242"/>
                      <w:tag w:val="2242"/>
                      <w:id w:val="358854881"/>
                    </w:sdtPr>
                    <w:sdtEndPr/>
                    <w:sdtContent>
                      <w:r w:rsidR="00DF0408">
                        <w:rPr>
                          <w:rFonts w:ascii="David" w:hAnsi="David"/>
                          <w:rtl/>
                        </w:rPr>
                        <w:t>גרינברג</w:t>
                      </w:r>
                    </w:sdtContent>
                  </w:sdt>
                  <w:r w:rsidR="00DF0408">
                    <w:rPr>
                      <w:rFonts w:ascii="David" w:hAnsi="David"/>
                      <w:rtl/>
                    </w:rPr>
                    <w:t xml:space="preserve">, </w:t>
                  </w:r>
                  <w:sdt>
                    <w:sdtPr>
                      <w:rPr>
                        <w:rFonts w:cs="Times New Roman" w:hint="cs"/>
                        <w:rtl/>
                      </w:rPr>
                      <w:alias w:val="2247"/>
                      <w:tag w:val="2247"/>
                      <w:id w:val="243227774"/>
                    </w:sdtPr>
                    <w:sdtEndPr/>
                    <w:sdtContent>
                      <w:r w:rsidR="00DF0408">
                        <w:rPr>
                          <w:rFonts w:ascii="David" w:hAnsi="David"/>
                          <w:rtl/>
                        </w:rPr>
                        <w:t>שופטת</w:t>
                      </w:r>
                    </w:sdtContent>
                  </w:sdt>
                </w:p>
              </w:tc>
            </w:tr>
          </w:tbl>
          <w:p w:rsidR="00DF0408" w:rsidRDefault="00DF0408" w:rsidP="00DF0408">
            <w:pPr>
              <w:spacing w:line="360" w:lineRule="auto"/>
              <w:jc w:val="both"/>
              <w:rPr>
                <w:rFonts w:asciiTheme="minorHAnsi" w:hAnsiTheme="minorHAnsi" w:cstheme="minorBidi"/>
                <w:sz w:val="22"/>
                <w:szCs w:val="22"/>
                <w:rtl/>
              </w:rPr>
            </w:pPr>
            <w:r>
              <w:rPr>
                <w:rtl/>
              </w:rPr>
              <w:t xml:space="preserve"> </w:t>
            </w:r>
          </w:p>
          <w:p w:rsidR="00DF0408" w:rsidRDefault="00DF0408" w:rsidP="00DF0408">
            <w:pPr>
              <w:spacing w:line="360" w:lineRule="auto"/>
              <w:jc w:val="both"/>
              <w:rPr>
                <w:rFonts w:ascii="Arial" w:hAnsi="Arial"/>
                <w:b/>
                <w:bCs/>
                <w:sz w:val="26"/>
                <w:szCs w:val="26"/>
                <w:rtl/>
              </w:rPr>
            </w:pPr>
            <w:r>
              <w:rPr>
                <w:rFonts w:ascii="Arial" w:hAnsi="Arial"/>
                <w:b/>
                <w:bCs/>
                <w:sz w:val="26"/>
                <w:szCs w:val="26"/>
                <w:rtl/>
              </w:rPr>
              <w:lastRenderedPageBreak/>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p w:rsidR="00B66717" w:rsidRPr="00B62AD7" w:rsidRDefault="00B66717" w:rsidP="00B66717">
            <w:pPr>
              <w:rPr>
                <w:b/>
                <w:bCs/>
                <w:sz w:val="26"/>
                <w:szCs w:val="26"/>
              </w:rPr>
            </w:pPr>
          </w:p>
        </w:tc>
      </w:tr>
      <w:tr w:rsidR="004C17EE" w:rsidTr="00DF0408">
        <w:trPr>
          <w:jc w:val="center"/>
        </w:trPr>
        <w:tc>
          <w:tcPr>
            <w:tcW w:w="10703" w:type="dxa"/>
            <w:gridSpan w:val="2"/>
          </w:tcPr>
          <w:p w:rsidR="00D75ED3" w:rsidRDefault="00D75ED3">
            <w:pPr>
              <w:suppressLineNumbers/>
              <w:rPr>
                <w:rFonts w:ascii="Arial" w:hAnsi="Arial"/>
                <w:b/>
                <w:bCs/>
                <w:noProof w:val="0"/>
                <w:sz w:val="26"/>
                <w:szCs w:val="26"/>
                <w:rtl/>
              </w:rPr>
            </w:pPr>
          </w:p>
        </w:tc>
      </w:tr>
    </w:tbl>
    <w:p w:rsidR="0094424E" w:rsidRDefault="0094424E" w:rsidP="00D44968">
      <w:pPr>
        <w:suppressLineNumbers/>
        <w:rPr>
          <w:rtl/>
        </w:rPr>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D44968" w:rsidP="00DF0408">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0" w:name="NGCSBookmark"/>
      <w:bookmarkEnd w:id="0"/>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6B1" w:rsidRDefault="005416B1">
      <w:r>
        <w:separator/>
      </w:r>
    </w:p>
  </w:endnote>
  <w:endnote w:type="continuationSeparator" w:id="0">
    <w:p w:rsidR="005416B1" w:rsidRDefault="0054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ADC" w:rsidRDefault="004E7AD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d"/>
        <w:rFonts w:ascii="David" w:hAnsi="David"/>
      </w:rPr>
    </w:pPr>
    <w:r w:rsidRPr="00E765F7">
      <w:rPr>
        <w:rStyle w:val="ad"/>
        <w:rFonts w:ascii="David" w:hAnsi="David"/>
      </w:rPr>
      <w:fldChar w:fldCharType="begin"/>
    </w:r>
    <w:r w:rsidR="00005C8B" w:rsidRPr="00E765F7">
      <w:rPr>
        <w:rStyle w:val="ad"/>
        <w:rFonts w:ascii="David" w:hAnsi="David"/>
      </w:rPr>
      <w:instrText xml:space="preserve"> PAGE </w:instrText>
    </w:r>
    <w:r w:rsidRPr="00E765F7">
      <w:rPr>
        <w:rStyle w:val="ad"/>
        <w:rFonts w:ascii="David" w:hAnsi="David"/>
      </w:rPr>
      <w:fldChar w:fldCharType="separate"/>
    </w:r>
    <w:r w:rsidR="00F82946">
      <w:rPr>
        <w:rStyle w:val="ad"/>
        <w:rFonts w:ascii="David" w:hAnsi="David"/>
        <w:rtl/>
      </w:rPr>
      <w:t>1</w:t>
    </w:r>
    <w:r w:rsidRPr="00E765F7">
      <w:rPr>
        <w:rStyle w:val="ad"/>
        <w:rFonts w:ascii="David" w:hAnsi="David"/>
      </w:rPr>
      <w:fldChar w:fldCharType="end"/>
    </w:r>
    <w:r w:rsidR="00005C8B" w:rsidRPr="00E765F7">
      <w:rPr>
        <w:rStyle w:val="ad"/>
        <w:rFonts w:ascii="David" w:hAnsi="David"/>
        <w:rtl/>
      </w:rPr>
      <w:t xml:space="preserve"> מתוך </w:t>
    </w:r>
    <w:r w:rsidRPr="00E765F7">
      <w:rPr>
        <w:rStyle w:val="ad"/>
        <w:rFonts w:ascii="David" w:hAnsi="David"/>
      </w:rPr>
      <w:fldChar w:fldCharType="begin"/>
    </w:r>
    <w:r w:rsidR="00005C8B" w:rsidRPr="00E765F7">
      <w:rPr>
        <w:rStyle w:val="ad"/>
        <w:rFonts w:ascii="David" w:hAnsi="David"/>
      </w:rPr>
      <w:instrText xml:space="preserve"> NUMPAGES </w:instrText>
    </w:r>
    <w:r w:rsidRPr="00E765F7">
      <w:rPr>
        <w:rStyle w:val="ad"/>
        <w:rFonts w:ascii="David" w:hAnsi="David"/>
      </w:rPr>
      <w:fldChar w:fldCharType="separate"/>
    </w:r>
    <w:r w:rsidR="00F82946">
      <w:rPr>
        <w:rStyle w:val="ad"/>
        <w:rFonts w:ascii="David" w:hAnsi="David"/>
        <w:rtl/>
      </w:rPr>
      <w:t>11</w:t>
    </w:r>
    <w:r w:rsidRPr="00E765F7">
      <w:rPr>
        <w:rStyle w:val="ad"/>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ADC" w:rsidRDefault="004E7AD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6B1" w:rsidRDefault="005416B1">
      <w:r>
        <w:separator/>
      </w:r>
    </w:p>
  </w:footnote>
  <w:footnote w:type="continuationSeparator" w:id="0">
    <w:p w:rsidR="005416B1" w:rsidRDefault="00541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ADC" w:rsidRDefault="004E7ADC">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7D45E3" w:rsidRPr="00584F98" w:rsidRDefault="005416B1" w:rsidP="00584F98">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תפח"ע</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8532-11-22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DF0408">
                <w:rPr>
                  <w:rFonts w:hint="cs"/>
                  <w:b/>
                  <w:bCs/>
                  <w:noProof w:val="0"/>
                  <w:sz w:val="26"/>
                  <w:szCs w:val="26"/>
                  <w:rtl/>
                </w:rPr>
                <w:t>פלוני</w:t>
              </w:r>
            </w:sdtContent>
          </w:sdt>
          <w:r w:rsidR="00CD516B">
            <w:rPr>
              <w:b/>
              <w:bCs/>
              <w:noProof w:val="0"/>
              <w:sz w:val="26"/>
              <w:szCs w:val="26"/>
              <w:rtl/>
            </w:rPr>
            <w:t xml:space="preserve"> </w:t>
          </w:r>
        </w:p>
        <w:p w:rsidR="008D10B2" w:rsidRPr="00E1068A" w:rsidRDefault="007D45E3" w:rsidP="00584F98">
          <w:pPr>
            <w:rPr>
              <w:sz w:val="20"/>
              <w:szCs w:val="20"/>
              <w:rtl/>
            </w:rPr>
          </w:pPr>
          <w:r>
            <w:rPr>
              <w:rFonts w:hint="cs"/>
              <w:rtl/>
            </w:rPr>
            <w:t xml:space="preserve">                           </w:t>
          </w:r>
          <w:r>
            <w:rPr>
              <w:rFonts w:hint="cs"/>
              <w:sz w:val="20"/>
              <w:szCs w:val="20"/>
              <w:rtl/>
            </w:rPr>
            <w:t xml:space="preserve">                                       </w:t>
          </w:r>
        </w:p>
      </w:tc>
    </w:tr>
  </w:tbl>
  <w:p w:rsidR="00694556" w:rsidRDefault="00005C8B">
    <w:pPr>
      <w:pStyle w:val="a5"/>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ADC" w:rsidRDefault="004E7A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C450CF56"/>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42AE72BA"/>
    <w:lvl w:ilvl="0" w:tplc="800A5CAC">
      <w:start w:val="1"/>
      <w:numFmt w:val="decimal"/>
      <w:pStyle w:val="a0"/>
      <w:lvlText w:val="%1."/>
      <w:lvlJc w:val="left"/>
      <w:pPr>
        <w:tabs>
          <w:tab w:val="num" w:pos="720"/>
        </w:tabs>
        <w:ind w:left="720" w:hanging="720"/>
      </w:pPr>
      <w:rPr>
        <w:b w:val="0"/>
        <w:bCs w:val="0"/>
      </w:rPr>
    </w:lvl>
    <w:lvl w:ilvl="1" w:tplc="CD94661A">
      <w:start w:val="1"/>
      <w:numFmt w:val="hebrew1"/>
      <w:lvlText w:val="%2."/>
      <w:lvlJc w:val="left"/>
      <w:pPr>
        <w:tabs>
          <w:tab w:val="num" w:pos="1620"/>
        </w:tabs>
        <w:ind w:left="1620" w:hanging="360"/>
      </w:pPr>
      <w:rPr>
        <w:rFonts w:ascii="David" w:hAnsi="David" w:cs="David" w:hint="default"/>
        <w:b w:val="0"/>
        <w:bCs w:val="0"/>
        <w:lang w:val="en-US"/>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3AE"/>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C5349"/>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4E7ADC"/>
    <w:rsid w:val="00511B90"/>
    <w:rsid w:val="00520898"/>
    <w:rsid w:val="00523621"/>
    <w:rsid w:val="00524986"/>
    <w:rsid w:val="005268F6"/>
    <w:rsid w:val="00534284"/>
    <w:rsid w:val="005416B1"/>
    <w:rsid w:val="00547DB7"/>
    <w:rsid w:val="00584F98"/>
    <w:rsid w:val="005C0627"/>
    <w:rsid w:val="005F4F09"/>
    <w:rsid w:val="0061431B"/>
    <w:rsid w:val="00622BAA"/>
    <w:rsid w:val="00626DE3"/>
    <w:rsid w:val="006306CF"/>
    <w:rsid w:val="006318D8"/>
    <w:rsid w:val="006428F6"/>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2283"/>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20D5A"/>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3C7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75ED3"/>
    <w:rsid w:val="00D96D8C"/>
    <w:rsid w:val="00DA6649"/>
    <w:rsid w:val="00DC1259"/>
    <w:rsid w:val="00DC1BD2"/>
    <w:rsid w:val="00DC2571"/>
    <w:rsid w:val="00DC487C"/>
    <w:rsid w:val="00DD4335"/>
    <w:rsid w:val="00DE1E7D"/>
    <w:rsid w:val="00DE6BF6"/>
    <w:rsid w:val="00DF0408"/>
    <w:rsid w:val="00DF3643"/>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2946"/>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3230C7"/>
    <w:rPr>
      <w:color w:val="808080"/>
    </w:rPr>
  </w:style>
  <w:style w:type="paragraph" w:styleId="a">
    <w:name w:val="List Number"/>
    <w:basedOn w:val="a1"/>
    <w:unhideWhenUsed/>
    <w:rsid w:val="00DF0408"/>
    <w:pPr>
      <w:numPr>
        <w:numId w:val="1"/>
      </w:numPr>
      <w:spacing w:after="120" w:line="360" w:lineRule="auto"/>
      <w:ind w:right="360"/>
    </w:pPr>
    <w:rPr>
      <w:noProof w:val="0"/>
    </w:rPr>
  </w:style>
  <w:style w:type="paragraph" w:styleId="af">
    <w:name w:val="List Paragraph"/>
    <w:basedOn w:val="a1"/>
    <w:uiPriority w:val="34"/>
    <w:qFormat/>
    <w:rsid w:val="00DF0408"/>
    <w:pPr>
      <w:ind w:left="720"/>
      <w:contextualSpacing/>
    </w:pPr>
    <w:rPr>
      <w:rFonts w:cs="Times New Roman"/>
      <w:noProof w:val="0"/>
    </w:rPr>
  </w:style>
  <w:style w:type="paragraph" w:customStyle="1" w:styleId="af0">
    <w:name w:val="כותרת"/>
    <w:basedOn w:val="a1"/>
    <w:next w:val="af1"/>
    <w:autoRedefine/>
    <w:rsid w:val="00DF0408"/>
    <w:pPr>
      <w:spacing w:after="120" w:line="360" w:lineRule="auto"/>
    </w:pPr>
    <w:rPr>
      <w:bCs/>
      <w:noProof w:val="0"/>
      <w:u w:val="single"/>
      <w:lang w:eastAsia="he-IL"/>
    </w:rPr>
  </w:style>
  <w:style w:type="paragraph" w:customStyle="1" w:styleId="a0">
    <w:name w:val="ממוספר"/>
    <w:basedOn w:val="a1"/>
    <w:rsid w:val="00DF0408"/>
    <w:pPr>
      <w:numPr>
        <w:numId w:val="2"/>
      </w:numPr>
      <w:spacing w:after="120" w:line="360" w:lineRule="auto"/>
    </w:pPr>
    <w:rPr>
      <w:rFonts w:ascii="David" w:hAnsi="David"/>
      <w:noProof w:val="0"/>
      <w:color w:val="000000"/>
    </w:rPr>
  </w:style>
  <w:style w:type="character" w:customStyle="1" w:styleId="default">
    <w:name w:val="default"/>
    <w:rsid w:val="00DF0408"/>
    <w:rPr>
      <w:rFonts w:ascii="Times New Roman" w:hAnsi="Times New Roman" w:cs="Times New Roman" w:hint="default"/>
      <w:sz w:val="26"/>
      <w:szCs w:val="26"/>
    </w:rPr>
  </w:style>
  <w:style w:type="paragraph" w:styleId="af1">
    <w:name w:val="List"/>
    <w:basedOn w:val="a1"/>
    <w:semiHidden/>
    <w:unhideWhenUsed/>
    <w:rsid w:val="00DF04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9134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A74356" w:rsidP="00A74356">
          <w:pPr>
            <w:pStyle w:val="610C6E051A88448494B3C30FBAD747735"/>
          </w:pPr>
          <w:r w:rsidRPr="00B62AD7">
            <w:rPr>
              <w:rFonts w:ascii="David" w:eastAsia="David" w:hAnsi="David"/>
              <w:b/>
              <w:bCs/>
              <w:rtl/>
            </w:rPr>
            <w:t>מעמד.כינוי צד ג'</w:t>
          </w:r>
        </w:p>
      </w:docPartBody>
    </w:docPart>
    <w:docPart>
      <w:docPartPr>
        <w:name w:val="F946488CDC57439FB0EF32AA0678D516"/>
        <w:category>
          <w:name w:val="כללי"/>
          <w:gallery w:val="placeholder"/>
        </w:category>
        <w:types>
          <w:type w:val="bbPlcHdr"/>
        </w:types>
        <w:behaviors>
          <w:behavior w:val="content"/>
        </w:behaviors>
        <w:guid w:val="{F23FA857-2842-4B38-897C-ED9F04971D71}"/>
      </w:docPartPr>
      <w:docPartBody>
        <w:p w:rsidR="000B6307" w:rsidRDefault="00CB6526" w:rsidP="00CB6526">
          <w:pPr>
            <w:pStyle w:val="F946488CDC57439FB0EF32AA0678D516"/>
          </w:pPr>
          <w:r>
            <w:rPr>
              <w:rFonts w:ascii="Arial" w:hAnsi="Arial"/>
              <w:b/>
              <w:bCs/>
              <w:sz w:val="26"/>
              <w:szCs w:val="26"/>
              <w:rtl/>
            </w:rPr>
            <w:t>שם צד א' ללא שם של חסוי</w:t>
          </w:r>
        </w:p>
      </w:docPartBody>
    </w:docPart>
    <w:docPart>
      <w:docPartPr>
        <w:name w:val="2E4F25EF27EB4D09A854CEDFB908C9B6"/>
        <w:category>
          <w:name w:val="כללי"/>
          <w:gallery w:val="placeholder"/>
        </w:category>
        <w:types>
          <w:type w:val="bbPlcHdr"/>
        </w:types>
        <w:behaviors>
          <w:behavior w:val="content"/>
        </w:behaviors>
        <w:guid w:val="{A8735B9A-4983-46A5-B4CE-23DE195C4C6C}"/>
      </w:docPartPr>
      <w:docPartBody>
        <w:p w:rsidR="000B6307" w:rsidRDefault="00CB6526" w:rsidP="00CB6526">
          <w:pPr>
            <w:pStyle w:val="2E4F25EF27EB4D09A854CEDFB908C9B6"/>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0B6307"/>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CB6526"/>
    <w:rsid w:val="00D24521"/>
    <w:rsid w:val="00D6580E"/>
    <w:rsid w:val="00E31BF6"/>
    <w:rsid w:val="00E81DB1"/>
    <w:rsid w:val="00F04DC1"/>
    <w:rsid w:val="00F678CA"/>
    <w:rsid w:val="00FD7717"/>
    <w:rsid w:val="00FF002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F946488CDC57439FB0EF32AA0678D516">
    <w:name w:val="F946488CDC57439FB0EF32AA0678D516"/>
    <w:rsid w:val="00CB6526"/>
    <w:pPr>
      <w:bidi/>
      <w:spacing w:after="160" w:line="259" w:lineRule="auto"/>
    </w:pPr>
  </w:style>
  <w:style w:type="paragraph" w:customStyle="1" w:styleId="2E4F25EF27EB4D09A854CEDFB908C9B6">
    <w:name w:val="2E4F25EF27EB4D09A854CEDFB908C9B6"/>
    <w:rsid w:val="00CB652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3857</Words>
  <Characters>19287</Characters>
  <Application>Microsoft Office Word</Application>
  <DocSecurity>0</DocSecurity>
  <Lines>160</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2024-12-05T07:05:00Z</dcterms:created>
  <dcterms:modified xsi:type="dcterms:W3CDTF">2024-12-05T07:05:00Z</dcterms:modified>
</cp:coreProperties>
</file>